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298" w:rsidRPr="00D200A8" w:rsidRDefault="00B64298" w:rsidP="00B642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E2E2E"/>
          <w:sz w:val="21"/>
          <w:szCs w:val="21"/>
          <w:lang w:val="en" w:eastAsia="es-MX"/>
        </w:rPr>
      </w:pPr>
      <w:bookmarkStart w:id="0" w:name="_GoBack"/>
      <w:bookmarkEnd w:id="0"/>
      <w:r w:rsidRPr="00B64298">
        <w:rPr>
          <w:rFonts w:ascii="Segoe UI" w:eastAsia="Times New Roman" w:hAnsi="Segoe UI" w:cs="Segoe UI"/>
          <w:b/>
          <w:color w:val="2E2E2E"/>
          <w:sz w:val="21"/>
          <w:szCs w:val="21"/>
          <w:lang w:val="en" w:eastAsia="es-MX"/>
        </w:rPr>
        <w:t>What are three conclusions we can make about Kickstarter campaigns given the provided data?</w:t>
      </w:r>
    </w:p>
    <w:p w:rsidR="005E22EF" w:rsidRDefault="005E22EF" w:rsidP="005E22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Based on the in</w:t>
      </w:r>
      <w:r w:rsidR="00174FF1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formation brought by Kickstart</w:t>
      </w: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, the 53% of the projects are </w:t>
      </w:r>
      <w:r w:rsidR="00D200A8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successful,</w:t>
      </w: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34% are failed and only the 7% are canceled.</w:t>
      </w:r>
    </w:p>
    <w:p w:rsidR="00174FF1" w:rsidRDefault="005E22EF" w:rsidP="005E22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The most successful categories are music (77%) and theater (60%) and the worst are games (36%</w:t>
      </w:r>
      <w:r w:rsidR="00174FF1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), </w:t>
      </w: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publishing (33%) and technology (34%). Another important finding is the </w:t>
      </w:r>
      <w:r w:rsidR="00174FF1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important quantity of canceled projects related with </w:t>
      </w:r>
      <w:r w:rsidR="00DE5059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technology;</w:t>
      </w:r>
      <w:r w:rsidR="00174FF1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they represent the 51% of the total canceled projects of the crown founding.</w:t>
      </w:r>
    </w:p>
    <w:p w:rsidR="005E22EF" w:rsidRDefault="00CC692A" w:rsidP="005E22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Most</w:t>
      </w:r>
      <w:r w:rsidR="00174FF1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of </w:t>
      </w: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the projects</w:t>
      </w:r>
      <w:r w:rsidR="00174FF1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belong to the theat</w:t>
      </w:r>
      <w:r w:rsidR="00DE5059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er </w:t>
      </w:r>
      <w:r w:rsidR="00174FF1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category and </w:t>
      </w: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this sector represents the majority of</w:t>
      </w:r>
      <w:r w:rsidR="00174FF1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successful (38%) and failed (32%) </w:t>
      </w: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projects </w:t>
      </w:r>
      <w:r w:rsidR="00174FF1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of the total </w:t>
      </w: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of Kickstart.</w:t>
      </w:r>
    </w:p>
    <w:p w:rsidR="00CC692A" w:rsidRDefault="00CC692A" w:rsidP="005E22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Finally the 100% of the Journalism projects were canceled.</w:t>
      </w:r>
    </w:p>
    <w:p w:rsidR="00174FF1" w:rsidRDefault="00174FF1" w:rsidP="005E22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</w:p>
    <w:p w:rsidR="0049346B" w:rsidRDefault="005E22EF" w:rsidP="005E22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noProof/>
          <w:lang w:eastAsia="es-MX"/>
        </w:rPr>
        <w:drawing>
          <wp:inline distT="0" distB="0" distL="0" distR="0" wp14:anchorId="6871721B" wp14:editId="6CA9413C">
            <wp:extent cx="5612130" cy="3020060"/>
            <wp:effectExtent l="0" t="0" r="26670" b="279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C692A" w:rsidRDefault="007B5405" w:rsidP="005E22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The first notable information is that subcategory “Plays” represents the 26% of the</w:t>
      </w:r>
      <w:r w:rsidR="00CC692A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</w:t>
      </w:r>
      <w:r w:rsidR="00D200A8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total projects</w:t>
      </w: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of Kickstart</w:t>
      </w:r>
      <w:r w:rsidR="00CC692A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.</w:t>
      </w:r>
    </w:p>
    <w:p w:rsidR="00C12A49" w:rsidRDefault="00CC692A" w:rsidP="005E22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As we mentioned in the first section the most popular categories were theater and music, </w:t>
      </w:r>
      <w:r w:rsidR="00D200A8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thus the</w:t>
      </w: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most notable subcategories are </w:t>
      </w:r>
      <w:r w:rsidR="00C12A49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“</w:t>
      </w: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Play</w:t>
      </w:r>
      <w:r w:rsidR="00C12A49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”</w:t>
      </w: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which represents the 26% of the total </w:t>
      </w:r>
      <w:r w:rsidR="00C12A49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success </w:t>
      </w: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projects of Kickstart and </w:t>
      </w:r>
      <w:r w:rsidR="00C12A49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“Rock” with the 12%.</w:t>
      </w:r>
    </w:p>
    <w:p w:rsidR="007B5405" w:rsidRDefault="00C12A49" w:rsidP="005E22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In the previous graph we saw the special case of the category Journalism, but in this case we see </w:t>
      </w:r>
      <w:r w:rsidR="001735F4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12</w:t>
      </w: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cases where the rate of success is 100% like classical music, documentary, electronic music, etc. </w:t>
      </w:r>
      <w:r w:rsidR="001735F4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The 41% of them belong to the category Music.</w:t>
      </w:r>
    </w:p>
    <w:p w:rsidR="001735F4" w:rsidRDefault="001735F4" w:rsidP="005E22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lastRenderedPageBreak/>
        <w:t>By the other side, we have 11 subcategories where the rate of success is 0, for example animation, children´s book, drama, gadgets, etc.</w:t>
      </w:r>
    </w:p>
    <w:p w:rsidR="0049346B" w:rsidRDefault="0049346B" w:rsidP="005E22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noProof/>
          <w:lang w:eastAsia="es-MX"/>
        </w:rPr>
        <w:drawing>
          <wp:inline distT="0" distB="0" distL="0" distR="0" wp14:anchorId="3749DC55" wp14:editId="0519A0EA">
            <wp:extent cx="5612130" cy="2125980"/>
            <wp:effectExtent l="0" t="0" r="26670" b="266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E7E3F" w:rsidRDefault="004E7E3F" w:rsidP="00B6429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Based on the information from 2009 to 2017, the </w:t>
      </w:r>
      <w:r w:rsidR="00D200A8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number of canceled projects maintains</w:t>
      </w: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a linear behavior, with an average of 29 per year. </w:t>
      </w:r>
    </w:p>
    <w:p w:rsidR="00B64298" w:rsidRDefault="004E7E3F" w:rsidP="00B6429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In May the</w:t>
      </w:r>
      <w:r w:rsidR="00095536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difference between</w:t>
      </w: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</w:t>
      </w:r>
      <w:r w:rsidR="00095536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the </w:t>
      </w: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rate of successful and failed projects is the most significant with the 60% against the 33% respectively, but that moment is the start of a decreasing of the rate of success which ends on December when the rate of failed is superior.</w:t>
      </w:r>
      <w:r w:rsidR="00095536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This negative behavior started on the year 2014 and continued </w:t>
      </w:r>
    </w:p>
    <w:p w:rsidR="001735F4" w:rsidRDefault="001735F4" w:rsidP="00B6429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noProof/>
          <w:lang w:eastAsia="es-MX"/>
        </w:rPr>
        <w:drawing>
          <wp:inline distT="0" distB="0" distL="0" distR="0" wp14:anchorId="64014946" wp14:editId="5CB8A2D1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64298" w:rsidRDefault="007816A7" w:rsidP="00B6429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Finally, </w:t>
      </w:r>
      <w:r w:rsidR="00347733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using Python(we didn´t omit the outliers),</w:t>
      </w: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we can see</w:t>
      </w:r>
      <w:r w:rsidR="00347733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the pledged amount obtained for successful projects is 10 times the amount of the failed and the goal is 8 times lower respectively.</w:t>
      </w:r>
    </w:p>
    <w:p w:rsidR="00347733" w:rsidRDefault="00347733">
      <w:pP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br w:type="page"/>
      </w:r>
    </w:p>
    <w:p w:rsidR="007816A7" w:rsidRPr="00B64298" w:rsidRDefault="00347733" w:rsidP="00B6429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5A7030F5" wp14:editId="62CA45B1">
            <wp:extent cx="5612130" cy="8597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A4" w:rsidRDefault="00B64298" w:rsidP="00941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 w:rsidRPr="00B64298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What are some of the limitations of this dataset?</w:t>
      </w:r>
    </w:p>
    <w:p w:rsidR="009416A4" w:rsidRDefault="009416A4" w:rsidP="009416A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The size of the sampling is small, as we could </w:t>
      </w:r>
      <w:r w:rsidR="00347733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confirm</w:t>
      </w: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in the subcategory section where we saw quantities less than 10. </w:t>
      </w:r>
    </w:p>
    <w:p w:rsidR="009416A4" w:rsidRDefault="00D200A8" w:rsidP="009416A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We can´t assume the same behavior will be presented by another crown founding, because some of them operate in a different way. For example, in some of them, the risk to invest in a failed project is not avoided as it is done in Kickstart, which will modify the trust of the backers and the statistics. </w:t>
      </w:r>
    </w:p>
    <w:p w:rsidR="00347733" w:rsidRPr="00B64298" w:rsidRDefault="00D200A8" w:rsidP="009416A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It will be good to</w:t>
      </w:r>
      <w:r w:rsidR="00347733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have the data from more crown founding</w:t>
      </w: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</w:t>
      </w:r>
      <w:r w:rsidR="00347733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associations;</w:t>
      </w: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putting all together we could generate a better general idea in case the sample is representative of the population.</w:t>
      </w:r>
    </w:p>
    <w:p w:rsidR="00CF674B" w:rsidRDefault="00B64298" w:rsidP="00941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 w:rsidRPr="00B64298"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What are some other possible tables/graphs that we could create?</w:t>
      </w:r>
    </w:p>
    <w:p w:rsidR="00D200A8" w:rsidRDefault="00347733" w:rsidP="00D200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The 73% of the projects are from the United States, so in case that we have the specific state we could see the tendency for each one.</w:t>
      </w:r>
    </w:p>
    <w:p w:rsidR="00347733" w:rsidRDefault="00347733" w:rsidP="00D200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There are two possible factors that we can </w:t>
      </w:r>
      <w:proofErr w:type="gramStart"/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analyze,</w:t>
      </w:r>
      <w:proofErr w:type="gramEnd"/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one is the duration of the project, because there is an interesting tendency obtained by the same </w:t>
      </w:r>
      <w:proofErr w:type="spellStart"/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kickstart</w:t>
      </w:r>
      <w:proofErr w:type="spellEnd"/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 xml:space="preserve"> foundation described in this article </w:t>
      </w:r>
      <w:hyperlink r:id="rId10" w:history="1">
        <w:r w:rsidRPr="00C942FE">
          <w:rPr>
            <w:rStyle w:val="Hyperlink"/>
            <w:rFonts w:ascii="Segoe UI" w:eastAsia="Times New Roman" w:hAnsi="Segoe UI" w:cs="Segoe UI"/>
            <w:sz w:val="21"/>
            <w:szCs w:val="21"/>
            <w:lang w:val="en" w:eastAsia="es-MX"/>
          </w:rPr>
          <w:t>https://www.kickstarter.com/blog/trends-in-pricing-and-duration</w:t>
        </w:r>
      </w:hyperlink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.</w:t>
      </w:r>
    </w:p>
    <w:p w:rsidR="00347733" w:rsidRDefault="00347733" w:rsidP="00D200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Similarly we could analyze the reviews and comments and see the relation with the success or fail of the projects.</w:t>
      </w:r>
    </w:p>
    <w:p w:rsidR="00347733" w:rsidRPr="009416A4" w:rsidRDefault="00347733" w:rsidP="00D200A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</w:pPr>
      <w:r>
        <w:rPr>
          <w:rFonts w:ascii="Segoe UI" w:eastAsia="Times New Roman" w:hAnsi="Segoe UI" w:cs="Segoe UI"/>
          <w:color w:val="2E2E2E"/>
          <w:sz w:val="21"/>
          <w:szCs w:val="21"/>
          <w:lang w:val="en" w:eastAsia="es-MX"/>
        </w:rPr>
        <w:t>Finally we can try to obtain the model; in our case I consider the logistic regression could be a good option.</w:t>
      </w:r>
    </w:p>
    <w:sectPr w:rsidR="00347733" w:rsidRPr="00941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B2772"/>
    <w:multiLevelType w:val="multilevel"/>
    <w:tmpl w:val="1504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A3"/>
    <w:rsid w:val="00095536"/>
    <w:rsid w:val="001735F4"/>
    <w:rsid w:val="00174FF1"/>
    <w:rsid w:val="00180997"/>
    <w:rsid w:val="00347733"/>
    <w:rsid w:val="004624EF"/>
    <w:rsid w:val="0049346B"/>
    <w:rsid w:val="004E7E3F"/>
    <w:rsid w:val="005E22EF"/>
    <w:rsid w:val="006119A3"/>
    <w:rsid w:val="007816A7"/>
    <w:rsid w:val="007B5405"/>
    <w:rsid w:val="009416A4"/>
    <w:rsid w:val="00B64298"/>
    <w:rsid w:val="00C12A49"/>
    <w:rsid w:val="00CC692A"/>
    <w:rsid w:val="00CD212A"/>
    <w:rsid w:val="00CF674B"/>
    <w:rsid w:val="00D200A8"/>
    <w:rsid w:val="00DE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9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77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9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77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12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7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9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64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7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0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ickstarter.com/blog/trends-in-pricing-and-dur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0187044\Documents\Manuel\BootCamp\week-1\HOMEWORK\StarterBook_Manuel_Gonzalez_Fina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0187044\Documents\Manuel\BootCamp\week-1\HOMEWORK\StarterBook_Manuel_Gonzalez_Fina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70187044\Documents\Manuel\BootCamp\week-1\HOMEWORK\StarterBook_Manuel_Gonzalez_Fin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[StarterBook_Manuel_Gonzalez_Final.xlsx]Exercise 1!PivotTable1</c:name>
    <c:fmtId val="-1"/>
  </c:pivotSource>
  <c:chart>
    <c:autoTitleDeleted val="0"/>
    <c:pivotFmts>
      <c:pivotFmt>
        <c:idx val="0"/>
        <c:spPr>
          <a:solidFill>
            <a:srgbClr val="00B050"/>
          </a:solidFill>
        </c:spPr>
        <c:marker>
          <c:symbol val="none"/>
        </c:marker>
      </c:pivotFmt>
      <c:pivotFmt>
        <c:idx val="1"/>
        <c:spPr>
          <a:solidFill>
            <a:srgbClr val="FF0000"/>
          </a:solidFill>
        </c:spPr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spPr>
          <a:solidFill>
            <a:srgbClr val="00B0F0"/>
          </a:solidFill>
        </c:spPr>
        <c:marker>
          <c:symbol val="none"/>
        </c:marker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  <c:spPr>
          <a:solidFill>
            <a:srgbClr val="00B050"/>
          </a:solidFill>
        </c:spPr>
        <c:marker>
          <c:symbol val="none"/>
        </c:marker>
      </c:pivotFmt>
      <c:pivotFmt>
        <c:idx val="13"/>
        <c:spPr>
          <a:solidFill>
            <a:srgbClr val="FF0000"/>
          </a:solidFill>
        </c:spPr>
        <c:marker>
          <c:symbol val="none"/>
        </c:marker>
      </c:pivotFmt>
      <c:pivotFmt>
        <c:idx val="14"/>
        <c:marker>
          <c:symbol val="none"/>
        </c:marker>
      </c:pivotFmt>
      <c:pivotFmt>
        <c:idx val="15"/>
        <c:spPr>
          <a:solidFill>
            <a:srgbClr val="00B0F0"/>
          </a:solidFill>
        </c:spPr>
        <c:marker>
          <c:symbol val="none"/>
        </c:marker>
      </c:pivotFmt>
      <c:pivotFmt>
        <c:idx val="16"/>
        <c:spPr>
          <a:solidFill>
            <a:srgbClr val="00B050"/>
          </a:solidFill>
        </c:spPr>
        <c:marker>
          <c:symbol val="none"/>
        </c:marker>
      </c:pivotFmt>
      <c:pivotFmt>
        <c:idx val="17"/>
        <c:spPr>
          <a:solidFill>
            <a:srgbClr val="FF0000"/>
          </a:solidFill>
        </c:spPr>
        <c:marker>
          <c:symbol val="none"/>
        </c:marker>
      </c:pivotFmt>
      <c:pivotFmt>
        <c:idx val="18"/>
        <c:marker>
          <c:symbol val="none"/>
        </c:marker>
      </c:pivotFmt>
      <c:pivotFmt>
        <c:idx val="19"/>
        <c:spPr>
          <a:solidFill>
            <a:srgbClr val="00B0F0"/>
          </a:solidFill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'Exercise 1'!$B$3:$B$4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cat>
            <c:strRef>
              <c:f>'Exercise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'Exercise 1'!$B$5:$B$14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</c:ser>
        <c:ser>
          <c:idx val="1"/>
          <c:order val="1"/>
          <c:tx>
            <c:strRef>
              <c:f>'Exercise 1'!$C$3:$C$4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cat>
            <c:strRef>
              <c:f>'Exercise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'Exercise 1'!$C$5:$C$14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</c:ser>
        <c:ser>
          <c:idx val="2"/>
          <c:order val="2"/>
          <c:tx>
            <c:strRef>
              <c:f>'Exercise 1'!$D$3:$D$4</c:f>
              <c:strCache>
                <c:ptCount val="1"/>
                <c:pt idx="0">
                  <c:v>canceled</c:v>
                </c:pt>
              </c:strCache>
            </c:strRef>
          </c:tx>
          <c:invertIfNegative val="0"/>
          <c:cat>
            <c:strRef>
              <c:f>'Exercise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'Exercise 1'!$D$5:$D$14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</c:ser>
        <c:ser>
          <c:idx val="3"/>
          <c:order val="3"/>
          <c:tx>
            <c:strRef>
              <c:f>'Exercise 1'!$E$3:$E$4</c:f>
              <c:strCache>
                <c:ptCount val="1"/>
                <c:pt idx="0">
                  <c:v>live</c:v>
                </c:pt>
              </c:strCache>
            </c:strRef>
          </c:tx>
          <c:invertIfNegative val="0"/>
          <c:cat>
            <c:strRef>
              <c:f>'Exercise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'Exercise 1'!$E$5:$E$14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2360832"/>
        <c:axId val="42362368"/>
      </c:barChart>
      <c:catAx>
        <c:axId val="42360832"/>
        <c:scaling>
          <c:orientation val="minMax"/>
        </c:scaling>
        <c:delete val="0"/>
        <c:axPos val="b"/>
        <c:majorTickMark val="out"/>
        <c:minorTickMark val="none"/>
        <c:tickLblPos val="nextTo"/>
        <c:crossAx val="42362368"/>
        <c:crosses val="autoZero"/>
        <c:auto val="1"/>
        <c:lblAlgn val="ctr"/>
        <c:lblOffset val="100"/>
        <c:noMultiLvlLbl val="0"/>
      </c:catAx>
      <c:valAx>
        <c:axId val="42362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3608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[StarterBook_Manuel_Gonzalez_Final.xlsx]Exercise 2!PivotTable2</c:name>
    <c:fmtId val="-1"/>
  </c:pivotSource>
  <c:chart>
    <c:autoTitleDeleted val="0"/>
    <c:pivotFmts>
      <c:pivotFmt>
        <c:idx val="0"/>
        <c:spPr>
          <a:solidFill>
            <a:srgbClr val="00B050"/>
          </a:solidFill>
        </c:spPr>
        <c:marker>
          <c:symbol val="none"/>
        </c:marker>
      </c:pivotFmt>
      <c:pivotFmt>
        <c:idx val="1"/>
        <c:spPr>
          <a:solidFill>
            <a:srgbClr val="FF0000"/>
          </a:solidFill>
        </c:spPr>
        <c:marker>
          <c:symbol val="none"/>
        </c:marker>
      </c:pivotFmt>
      <c:pivotFmt>
        <c:idx val="2"/>
        <c:spPr>
          <a:solidFill>
            <a:schemeClr val="accent3"/>
          </a:solidFill>
        </c:spPr>
        <c:marker>
          <c:symbol val="none"/>
        </c:marker>
      </c:pivotFmt>
      <c:pivotFmt>
        <c:idx val="3"/>
        <c:spPr>
          <a:solidFill>
            <a:srgbClr val="00B0F0"/>
          </a:solidFill>
        </c:spPr>
        <c:marker>
          <c:symbol val="none"/>
        </c:marker>
      </c:pivotFmt>
      <c:pivotFmt>
        <c:idx val="4"/>
      </c:pivotFmt>
      <c:pivotFmt>
        <c:idx val="5"/>
        <c:spPr>
          <a:solidFill>
            <a:srgbClr val="00B050"/>
          </a:solidFill>
        </c:spPr>
        <c:marker>
          <c:symbol val="none"/>
        </c:marker>
      </c:pivotFmt>
      <c:pivotFmt>
        <c:idx val="6"/>
        <c:spPr>
          <a:solidFill>
            <a:srgbClr val="FF0000"/>
          </a:solidFill>
        </c:spPr>
        <c:marker>
          <c:symbol val="none"/>
        </c:marker>
      </c:pivotFmt>
      <c:pivotFmt>
        <c:idx val="7"/>
        <c:spPr>
          <a:solidFill>
            <a:schemeClr val="accent3"/>
          </a:solidFill>
        </c:spPr>
        <c:marker>
          <c:symbol val="none"/>
        </c:marker>
      </c:pivotFmt>
      <c:pivotFmt>
        <c:idx val="8"/>
        <c:spPr>
          <a:solidFill>
            <a:srgbClr val="00B0F0"/>
          </a:solidFill>
        </c:spPr>
        <c:marker>
          <c:symbol val="none"/>
        </c:marker>
      </c:pivotFmt>
      <c:pivotFmt>
        <c:idx val="9"/>
        <c:spPr>
          <a:solidFill>
            <a:srgbClr val="00B050"/>
          </a:solidFill>
        </c:spPr>
        <c:marker>
          <c:symbol val="none"/>
        </c:marker>
      </c:pivotFmt>
      <c:pivotFmt>
        <c:idx val="10"/>
        <c:spPr>
          <a:solidFill>
            <a:srgbClr val="FF0000"/>
          </a:solidFill>
        </c:spPr>
        <c:marker>
          <c:symbol val="none"/>
        </c:marker>
      </c:pivotFmt>
      <c:pivotFmt>
        <c:idx val="11"/>
        <c:spPr>
          <a:solidFill>
            <a:schemeClr val="accent3"/>
          </a:solidFill>
        </c:spPr>
        <c:marker>
          <c:symbol val="none"/>
        </c:marker>
      </c:pivotFmt>
      <c:pivotFmt>
        <c:idx val="12"/>
        <c:spPr>
          <a:solidFill>
            <a:srgbClr val="00B0F0"/>
          </a:solidFill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'Exercise 2'!$B$5:$B$6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cat>
            <c:strRef>
              <c:f>'Exercise 2'!$A$7:$A$48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'Exercise 2'!$B$7:$B$48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</c:ser>
        <c:ser>
          <c:idx val="1"/>
          <c:order val="1"/>
          <c:tx>
            <c:strRef>
              <c:f>'Exercise 2'!$C$5:$C$6</c:f>
              <c:strCache>
                <c:ptCount val="1"/>
                <c:pt idx="0">
                  <c:v>failed</c:v>
                </c:pt>
              </c:strCache>
            </c:strRef>
          </c:tx>
          <c:invertIfNegative val="0"/>
          <c:cat>
            <c:strRef>
              <c:f>'Exercise 2'!$A$7:$A$48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'Exercise 2'!$C$7:$C$48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</c:ser>
        <c:ser>
          <c:idx val="2"/>
          <c:order val="2"/>
          <c:tx>
            <c:strRef>
              <c:f>'Exercise 2'!$D$5:$D$6</c:f>
              <c:strCache>
                <c:ptCount val="1"/>
                <c:pt idx="0">
                  <c:v>canceled</c:v>
                </c:pt>
              </c:strCache>
            </c:strRef>
          </c:tx>
          <c:invertIfNegative val="0"/>
          <c:cat>
            <c:strRef>
              <c:f>'Exercise 2'!$A$7:$A$48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'Exercise 2'!$D$7:$D$48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</c:ser>
        <c:ser>
          <c:idx val="3"/>
          <c:order val="3"/>
          <c:tx>
            <c:strRef>
              <c:f>'Exercise 2'!$E$5:$E$6</c:f>
              <c:strCache>
                <c:ptCount val="1"/>
                <c:pt idx="0">
                  <c:v>live</c:v>
                </c:pt>
              </c:strCache>
            </c:strRef>
          </c:tx>
          <c:invertIfNegative val="0"/>
          <c:cat>
            <c:strRef>
              <c:f>'Exercise 2'!$A$7:$A$48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'Exercise 2'!$E$7:$E$48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2399616"/>
        <c:axId val="42401152"/>
      </c:barChart>
      <c:catAx>
        <c:axId val="42399616"/>
        <c:scaling>
          <c:orientation val="minMax"/>
        </c:scaling>
        <c:delete val="0"/>
        <c:axPos val="b"/>
        <c:majorTickMark val="out"/>
        <c:minorTickMark val="none"/>
        <c:tickLblPos val="nextTo"/>
        <c:crossAx val="42401152"/>
        <c:crosses val="autoZero"/>
        <c:auto val="1"/>
        <c:lblAlgn val="ctr"/>
        <c:lblOffset val="100"/>
        <c:noMultiLvlLbl val="0"/>
      </c:catAx>
      <c:valAx>
        <c:axId val="42401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399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[StarterBook_Manuel_Gonzalez_Final.xlsx]Exercise 3!PivotTable3</c:name>
    <c:fmtId val="-1"/>
  </c:pivotSource>
  <c:chart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'Exercise 3'!$B$4:$B$5</c:f>
              <c:strCache>
                <c:ptCount val="1"/>
                <c:pt idx="0">
                  <c:v>successful</c:v>
                </c:pt>
              </c:strCache>
            </c:strRef>
          </c:tx>
          <c:cat>
            <c:strRef>
              <c:f>'Exercise 3'!$A$6:$A$18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'Exercise 3'!$B$6:$B$18</c:f>
              <c:numCache>
                <c:formatCode>General</c:formatCode>
                <c:ptCount val="12"/>
                <c:pt idx="0">
                  <c:v>184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232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'Exercise 3'!$C$4:$C$5</c:f>
              <c:strCache>
                <c:ptCount val="1"/>
                <c:pt idx="0">
                  <c:v>failed</c:v>
                </c:pt>
              </c:strCache>
            </c:strRef>
          </c:tx>
          <c:cat>
            <c:strRef>
              <c:f>'Exercise 3'!$A$6:$A$18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'Exercise 3'!$C$6:$C$18</c:f>
              <c:numCache>
                <c:formatCode>General</c:formatCode>
                <c:ptCount val="12"/>
                <c:pt idx="0">
                  <c:v>148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114</c:v>
                </c:pt>
                <c:pt idx="11">
                  <c:v>119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'Exercise 3'!$D$4:$D$5</c:f>
              <c:strCache>
                <c:ptCount val="1"/>
                <c:pt idx="0">
                  <c:v>canceled</c:v>
                </c:pt>
              </c:strCache>
            </c:strRef>
          </c:tx>
          <c:cat>
            <c:strRef>
              <c:f>'Exercise 3'!$A$6:$A$18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'Exercise 3'!$D$6:$D$18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'Exercise 3'!$E$4:$E$5</c:f>
              <c:strCache>
                <c:ptCount val="1"/>
                <c:pt idx="0">
                  <c:v>live</c:v>
                </c:pt>
              </c:strCache>
            </c:strRef>
          </c:tx>
          <c:cat>
            <c:strRef>
              <c:f>'Exercise 3'!$A$6:$A$18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'Exercise 3'!$E$6:$E$18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895808"/>
        <c:axId val="41897344"/>
      </c:lineChart>
      <c:catAx>
        <c:axId val="41895808"/>
        <c:scaling>
          <c:orientation val="minMax"/>
        </c:scaling>
        <c:delete val="0"/>
        <c:axPos val="b"/>
        <c:majorTickMark val="out"/>
        <c:minorTickMark val="none"/>
        <c:tickLblPos val="nextTo"/>
        <c:crossAx val="41897344"/>
        <c:crosses val="autoZero"/>
        <c:auto val="1"/>
        <c:lblAlgn val="ctr"/>
        <c:lblOffset val="100"/>
        <c:noMultiLvlLbl val="0"/>
      </c:catAx>
      <c:valAx>
        <c:axId val="41897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895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Gonzalez, ManuelAngel {PI}</dc:creator>
  <cp:lastModifiedBy>Gonzalez, ManuelAngel {PI}</cp:lastModifiedBy>
  <cp:revision>2</cp:revision>
  <dcterms:created xsi:type="dcterms:W3CDTF">2018-11-12T05:26:00Z</dcterms:created>
  <dcterms:modified xsi:type="dcterms:W3CDTF">2018-11-12T05:26:00Z</dcterms:modified>
</cp:coreProperties>
</file>