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adugi" w:cs="Gadugi" w:eastAsia="Gadugi" w:hAnsi="Gadugi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-638173</wp:posOffset>
            </wp:positionH>
            <wp:positionV relativeFrom="paragraph">
              <wp:posOffset>0</wp:posOffset>
            </wp:positionV>
            <wp:extent cx="1759247" cy="399706"/>
            <wp:effectExtent b="0" l="0" r="0" t="0"/>
            <wp:wrapTopAndBottom distB="0" distT="0"/>
            <wp:docPr descr="C:\Users\murzuaf\OneDrive - Fundacion Instituto Profesional Duoc UC\Imágenes\Logos_Maleta_2022\LOGO_Letras\LOGO_MD_LETRAS.png" id="12" name="image7.png"/>
            <a:graphic>
              <a:graphicData uri="http://schemas.openxmlformats.org/drawingml/2006/picture">
                <pic:pic>
                  <pic:nvPicPr>
                    <pic:cNvPr descr="C:\Users\murzuaf\OneDrive - Fundacion Instituto Profesional Duoc UC\Imágenes\Logos_Maleta_2022\LOGO_Letras\LOGO_MD_LETRAS.png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9247" cy="399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adugi" w:cs="Gadugi" w:eastAsia="Gadugi" w:hAnsi="Gadugi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adugi" w:cs="Gadugi" w:eastAsia="Gadugi" w:hAnsi="Gadugi"/>
          <w:b w:val="1"/>
          <w:bCs w:val="1"/>
          <w:sz w:val="72"/>
          <w:szCs w:val="7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72"/>
          <w:szCs w:val="72"/>
          <w:rtl w:val="0"/>
        </w:rPr>
        <w:t xml:space="preserve">Evaluación Parcial N° 3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adugi" w:cs="Gadugi" w:eastAsia="Gadugi" w:hAnsi="Gadugi"/>
          <w:sz w:val="40"/>
          <w:szCs w:val="40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40"/>
          <w:szCs w:val="40"/>
          <w:rtl w:val="0"/>
        </w:rPr>
        <w:t xml:space="preserve">Sistemas y servicios en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30"/>
          <w:szCs w:val="30"/>
          <w:rtl w:val="0"/>
        </w:rPr>
        <w:t xml:space="preserve">Informe Prueba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Nombre: Victor Rojas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Sección: 001D </w:t>
      </w:r>
      <w:r w:rsidDel="00000000" w:rsidR="00000000" w:rsidRPr="00000000">
        <w:rPr>
          <w:rFonts w:ascii="Arial" w:cs="Arial" w:eastAsia="Arial" w:hAnsi="Arial"/>
          <w:color w:val="ffffff"/>
          <w:sz w:val="46"/>
          <w:szCs w:val="46"/>
          <w:rtl w:val="0"/>
        </w:rPr>
        <w:t xml:space="preserve">001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heading=h.vgh0am5hk5f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heading=h.hyacyr4o9xi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heading=h.l19apk894j2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heading=h.rahuyj4optl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heading=h.1xkyfxp6ebw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heading=h.eipq41v869e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heading=h.2t1wibaowpj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heading=h.mgjdjeuslaf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heading=h.v7gkhzafmoae" w:id="8"/>
      <w:bookmarkEnd w:id="8"/>
      <w:r w:rsidDel="00000000" w:rsidR="00000000" w:rsidRPr="00000000">
        <w:rPr>
          <w:rtl w:val="0"/>
        </w:rPr>
        <w:t xml:space="preserve">AWS: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3655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configuró una instancia EC2 en AWS denominada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"Evaluación Parcial 3"</w:t>
      </w:r>
      <w:r w:rsidDel="00000000" w:rsidR="00000000" w:rsidRPr="00000000">
        <w:rPr>
          <w:rtl w:val="0"/>
        </w:rPr>
        <w:t xml:space="preserve">. Como sistema operativo se seleccionó una AMI de Ubuntu Server 24.04 LTS (HVM) de 64 bits (apta para la capa gratuita).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171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seleccionó el tipo t2.medium (que cuenta con 2 vCPU y 4 GiB de memoria). Se seleccionó/creó una clave de seguridad obligatoria llamada "víctor" para poder conectarse de forma segura.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111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2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creó un nuevo grupo de seguridad (launch-wizard-8) habilitando reglas para permitir el tráfico SSH desde cualquier lugar (0.0.0.0/0) para la administración remota, y el tráfico HTTP desde Internet para que el servidor web sea accesible de forma pública.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Almacenamiento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configuró el almacenamiento principal con un volumen raíz de 8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GiB de tipo gp3 (sin cifrado) y sin sistemas de archivos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6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282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procedió a conectar a la instancia a través del navegador utilizando la interfaz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Conexión de la instancia EC2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el usuario por defecto ubuntu.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iniciada, la instancia (i-058c01910d2239785) quedó en estado "En ejecución", asignándole la dirección IP pública 44.202.147.82 y la IP privada 172.31.94.235.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365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05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73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Mediante la terminal de Ubuntu, se ejecutó el comando sudo apt install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apache2 -y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descargar e instalar el servidor web Apache junto con sus dependencias.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Verificación y Activación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verificó el estado del servicio con sudo systemctl status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apache2, observando que estaba activo. También se utilizaron comandos como sudo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systemctl start apache2 y sudo systemctl enable apache2 para asegurar que el servicio web inicie automáticamente con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4286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03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133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se dirigió al directorio /var/www/html#. Se eliminó el archivo por defecto con sudo rm index.html y se creó uno nuevo utilizando el editor de texto Nano (sudo nano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index.html).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 escribió una estructura básica en HTML que incluye un título "Servidor Web AWS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estilos de centrado de texto y fuente Arial, un encabezado principal con la actividad "Actividad AWS - Duoc UC", el nombre del alumno "Victor Rojas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etiqueta para una imagen (logo.png) y un párrafo confirmando que el servidor Linux funciona correctamente.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 reinició el servicio con sudo systemctl restart apache 2 y se comprobó el estado de nuevo. Para validar el correcto funcionamiento desde la misma consola, se ejecutó el comando curl localhost, el cual devolvió con éxito el código HTML recién programado.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3813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4478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Finalmente, se ingresó a la dirección IP pública del servidor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44.202.147.82</w:t>
      </w:r>
      <w:r w:rsidDel="00000000" w:rsidR="00000000" w:rsidRPr="00000000">
        <w:rPr>
          <w:rtl w:val="0"/>
        </w:rPr>
        <w:t xml:space="preserve">) desde un navegador web en modo incógnito, corroborando el despliegue exitoso de la página personalizada (se muestra el título, el nombre y el texto, quedando pendiente la carga de la imagen del logo).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rPr/>
      </w:pPr>
      <w:bookmarkStart w:colFirst="0" w:colLast="0" w:name="_heading=h.rovr6hiod9v9" w:id="9"/>
      <w:bookmarkEnd w:id="9"/>
      <w:r w:rsidDel="00000000" w:rsidR="00000000" w:rsidRPr="00000000">
        <w:rPr>
          <w:rtl w:val="0"/>
        </w:rPr>
        <w:t xml:space="preserve">Windows Server: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4925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configuró una segunda instancia en EC2 con el nombre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"windows victor"</w:t>
      </w:r>
      <w:r w:rsidDel="00000000" w:rsidR="00000000" w:rsidRPr="00000000">
        <w:rPr>
          <w:rtl w:val="0"/>
        </w:rPr>
        <w:t xml:space="preserve">, seleccionando como sistema operativo la AMI Microsoft Windows Server 2019 Base de 64 bits (apta para la capa gratuita)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2860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igual que la anterior, se seleccionó el tamaño t2.medium (2 vCPU y 4 GiB de RAM).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Se configuró una clave de seguridad llamada "rojas vergara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realizar el descifrado posterior de la contraseña del administrador.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111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 creó un grupo de seguridad (launch-wizard-10) configurado para permitir el tráfico de RDP (Escritorio Remoto) desde cualquier lugar (0.0.0.0/0), necesario para poder controlar la interfaz gráfica de Windows.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46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Debido a los requerimientos de Windows, se asignó un almacenamiento raíz de 30 GBI de tipo </w:t>
      </w:r>
      <w:r w:rsidDel="00000000" w:rsidR="00000000" w:rsidRPr="00000000">
        <w:rPr>
          <w:b w:val="1"/>
          <w:bCs w:val="1"/>
          <w:rtl w:val="0"/>
        </w:rPr>
        <w:t xml:space="preserve">gp2</w:t>
      </w:r>
      <w:r w:rsidDel="00000000" w:rsidR="00000000" w:rsidRPr="00000000">
        <w:rPr>
          <w:rtl w:val="0"/>
        </w:rPr>
        <w:t xml:space="preserve"> (sin cifrado).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51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 accedió a la pantalla de conectividad mediante el </w:t>
      </w:r>
      <w:r w:rsidDel="00000000" w:rsidR="00000000" w:rsidRPr="00000000">
        <w:rPr>
          <w:i w:val="1"/>
          <w:iCs w:val="1"/>
          <w:rtl w:val="0"/>
        </w:rPr>
        <w:t xml:space="preserve">Cliente de RDP</w:t>
      </w:r>
      <w:r w:rsidDel="00000000" w:rsidR="00000000" w:rsidRPr="00000000">
        <w:rPr>
          <w:rtl w:val="0"/>
        </w:rPr>
        <w:t xml:space="preserve">, donde se muestra el DNS público asignado a la instancia y el nombre de usuario por defecto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), junto al espacio para descifrar la contraseña utilizando el archivo de claves.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743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Aquí se muestra el interior de la máquina virtual de Windows una vez iniciada la sesión, específicamente en la herramienta Server Manage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&gt; Dashboard, donde se evidencia que el servidor ya tiene instalados y reconocidos de manera local roles y servicios esenciales como DHCP, IIS (Internet Information Services), y servicios de archivos y almacenamiento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9624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utilizó el asistente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Add Roles and Features Wizard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sección de Server Roles (Roles del Servidor).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Selección del Servidor Web: Se marcó la casilla correspondiente al rol de Web Server (IIS). Esto despliega de forma automática las herramientas y dependencias necesarias para la administración del servidor HTTP e incorpora los componentes requeridos por la organización para alojar sitios web de manera local y en el entorno cloud.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730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abrió el navegador predeterminado dentro del servidor para validar que la máquina virtual cuenta con salida efectiva a internet.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Comprobación de Acceso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logró cargar con éxito la página principal de un portal público externo (MSN), confirmando el correcto funcionamiento del adaptador de red en modo de navegación y permitiendo la posterior descarga de utilidades o navegadores más modernos en el entorno de pruebas.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adug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0.png"/><Relationship Id="rId21" Type="http://schemas.openxmlformats.org/officeDocument/2006/relationships/image" Target="media/image12.png"/><Relationship Id="rId24" Type="http://schemas.openxmlformats.org/officeDocument/2006/relationships/image" Target="media/image2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3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7.png"/><Relationship Id="rId8" Type="http://schemas.openxmlformats.org/officeDocument/2006/relationships/image" Target="media/image19.png"/><Relationship Id="rId11" Type="http://schemas.openxmlformats.org/officeDocument/2006/relationships/image" Target="media/image3.png"/><Relationship Id="rId10" Type="http://schemas.openxmlformats.org/officeDocument/2006/relationships/image" Target="media/image14.png"/><Relationship Id="rId13" Type="http://schemas.openxmlformats.org/officeDocument/2006/relationships/image" Target="media/image16.png"/><Relationship Id="rId12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3YNa1HVa9unrWW51ypOKlpIbw==">CgMxLjAyDmgudmdoMGFtNWhrNWZtMg5oLmh5YWN5cjRvOXhpbDIOaC5sMTlhcGs4OTRqMmIyDmgucmFodXlqNG9wdGxxMg5oLjF4a3lmeHA2ZWJ3dTIOaC5laXBxNDF2ODY5ZW0yDmguMnQxd2liYW93cGpxMg5oLm1namRqZXVzbGFmcDIOaC52N2draHphZm1vYWUyDmgucm92cjZoaW9kOXY5OAByITFMZVAwY19MdXlmVjhXbEMtUDhuVG85akxiVUNCcW5xdQ==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