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Kicker"/>
      </w:pPr>
      <w:r>
        <w:t xml:space="preserve">COURS STRUCTURÉ</w:t>
      </w:r>
    </w:p>
    <w:p>
      <w:pPr>
        <w:pStyle w:val="Title"/>
      </w:pPr>
      <w:r>
        <w:t xml:space="preserve">La cellule et les tissus</w:t>
      </w:r>
    </w:p>
    <w:p>
      <w:pPr>
        <w:pStyle w:val="Subtitle"/>
      </w:pPr>
      <w:r>
        <w:t xml:space="preserve">UE 2.1 - Biologie fondamentale</w:t>
      </w:r>
    </w:p>
    <w:p>
      <w:pPr>
        <w:pStyle w:val="Metadata"/>
      </w:pPr>
      <w:r>
        <w:rPr>
          <w:b/>
        </w:rPr>
        <w:t xml:space="preserve">Semestre : </w:t>
      </w:r>
      <w:r>
        <w:t>Semestre 1</w:t>
      </w:r>
    </w:p>
    <w:p>
      <w:pPr>
        <w:pStyle w:val="Metadata"/>
      </w:pPr>
      <w:r>
        <w:rPr>
          <w:b/>
        </w:rPr>
        <w:t xml:space="preserve">UE : </w:t>
      </w:r>
      <w:r>
        <w:t>UE 2.1 - Biologie fondamentale</w:t>
      </w:r>
    </w:p>
    <w:p>
      <w:pPr>
        <w:pStyle w:val="Metadata"/>
      </w:pPr>
      <w:r>
        <w:rPr>
          <w:b/>
        </w:rPr>
        <w:t xml:space="preserve">Cours : </w:t>
      </w:r>
      <w:r>
        <w:t>La cellule et les tissus</w:t>
      </w:r>
    </w:p>
    <w:p>
      <w:pPr>
        <w:pStyle w:val="Metadata"/>
      </w:pPr>
      <w:r>
        <w:rPr>
          <w:b/>
        </w:rPr>
        <w:t xml:space="preserve">Enseignant : </w:t>
      </w:r>
      <w:r>
        <w:t>Dr Martin (exemple fictif)</w:t>
      </w:r>
    </w:p>
    <w:p>
      <w:pPr>
        <w:pStyle w:val="Metadata"/>
      </w:pPr>
      <w:r>
        <w:rPr>
          <w:b/>
        </w:rPr>
        <w:t xml:space="preserve">Date : </w:t>
      </w:r>
      <w:r>
        <w:t>14/09/2026</w:t>
      </w:r>
    </w:p>
    <w:p>
      <w:pPr>
        <w:pStyle w:val="Disclaimer"/>
      </w:pPr>
      <w:r>
        <w:t xml:space="preserve">Document de démonstration généré localement par Scrib. Le contenu est fictif et ne constitue pas une référence médicale.</w:t>
      </w:r>
    </w:p>
    <w:p>
      <w:pPr>
        <w:pStyle w:val="Heading1"/>
      </w:pPr>
      <w:r>
        <w:t xml:space="preserve">Sommaire</w:t>
      </w:r>
    </w:p>
    <w:p>
      <w:pPr>
        <w:pStyle w:val="TOC1"/>
      </w:pPr>
      <w:hyperlink w:anchor="section_1" w:history="1">
        <w:r>
          <w:rPr>
            <w:rStyle w:val="Hyperlink"/>
          </w:rPr>
          <w:t>Objectifs du cours</w:t>
        </w:r>
      </w:hyperlink>
    </w:p>
    <w:p>
      <w:pPr>
        <w:pStyle w:val="TOC1"/>
      </w:pPr>
      <w:hyperlink w:anchor="section_2" w:history="1">
        <w:r>
          <w:rPr>
            <w:rStyle w:val="Hyperlink"/>
          </w:rPr>
          <w:t>1. Organisation générale</w:t>
        </w:r>
      </w:hyperlink>
    </w:p>
    <w:p>
      <w:pPr>
        <w:pStyle w:val="TOC1"/>
      </w:pPr>
      <w:hyperlink w:anchor="section_3" w:history="1">
        <w:r>
          <w:rPr>
            <w:rStyle w:val="Hyperlink"/>
          </w:rPr>
          <w:t>2. De la cellule au tissu</w:t>
        </w:r>
      </w:hyperlink>
    </w:p>
    <w:p>
      <w:pPr>
        <w:pStyle w:val="TOC1"/>
      </w:pPr>
      <w:hyperlink w:anchor="section_4" w:history="1">
        <w:r>
          <w:rPr>
            <w:rStyle w:val="Hyperlink"/>
          </w:rPr>
          <w:t>3. Contrôle scientifique</w:t>
        </w:r>
      </w:hyperlink>
    </w:p>
    <w:p>
      <w:pPr>
        <w:pStyle w:val="TOC1"/>
      </w:pPr>
      <w:hyperlink w:anchor="sources" w:history="1">
        <w:r>
          <w:rPr>
            <w:rStyle w:val="Hyperlink"/>
          </w:rPr>
          <w:t>Sources et vérifications</w:t>
        </w:r>
      </w:hyperlink>
    </w:p>
    <w:p>
      <w:pPr>
        <w:pStyle w:val="Heading1"/>
      </w:pPr>
      <w:bookmarkStart w:id="1" w:name="section_1"/>
      <w:r>
        <w:t xml:space="preserve">Objectifs du cours</w:t>
      </w:r>
      <w:bookmarkEnd w:id="1"/>
    </w:p>
    <w:p>
      <w:pPr>
        <w:pStyle w:val="ListBullet"/>
        <w:numPr>
          <w:ilvl w:val="0"/>
          <w:numId w:val="1"/>
        </w:numPr>
      </w:pPr>
      <w:r>
        <w:t xml:space="preserve">Repérer les niveaux d'organisation utilisés dans l'exemple.</w:t>
      </w:r>
    </w:p>
    <w:p>
      <w:pPr>
        <w:pStyle w:val="ListBullet"/>
        <w:numPr>
          <w:ilvl w:val="0"/>
          <w:numId w:val="1"/>
        </w:numPr>
      </w:pPr>
      <w:r>
        <w:t xml:space="preserve">Distinguer une information issue du cours d'une vérification externe.</w:t>
      </w:r>
    </w:p>
    <w:p>
      <w:pPr>
        <w:pStyle w:val="ListBullet"/>
        <w:numPr>
          <w:ilvl w:val="0"/>
          <w:numId w:val="1"/>
        </w:numPr>
      </w:pPr>
      <w:r>
        <w:t xml:space="preserve">Retrouver rapidement un passage incertain grâce à son horodatage audio.</w:t>
      </w:r>
    </w:p>
    <w:p>
      <w:pPr>
        <w:pStyle w:val="Heading1"/>
      </w:pPr>
      <w:bookmarkStart w:id="2" w:name="section_2"/>
      <w:r>
        <w:t xml:space="preserve">1. Organisation générale</w:t>
      </w:r>
      <w:bookmarkEnd w:id="2"/>
    </w:p>
    <w:p>
      <w:pPr>
        <w:pStyle w:val="Normal"/>
      </w:pPr>
      <w:r>
        <w:t xml:space="preserve">Dans cette démonstration fictive, la cellule est présentée comme l'unité de base autour de laquelle le cours organise définitions, exemples et liens avec les tissus.</w:t>
      </w:r>
    </w:p>
    <w:p>
      <w:pPr>
        <w:pStyle w:val="Normal"/>
      </w:pPr>
      <w:r>
        <w:t xml:space="preserve">Le renderer conserve la hiérarchie fournie par le modèle structuré : les titres, paragraphes, listes et encadrés sont produits localement sans laisser le modèle génératif modifier la mise en page Word.</w:t>
      </w:r>
    </w:p>
    <w:tbl>
      <w:tblPr>
        <w:tblW w:w="9360" w:type="dxa"/>
        <w:tblInd w:w="120" w:type="dxa"/>
        <w:tblLayout w:type="fixed"/>
        <w:tblBorders>
          <w:top w:val="single" w:sz="8" w:color="9B1C1C"/>
          <w:left w:val="single" w:sz="18" w:color="9B1C1C"/>
          <w:bottom w:val="single" w:sz="8" w:color="9B1C1C"/>
          <w:right w:val="single" w:sz="8" w:color="9B1C1C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DECEC"/>
          </w:tcPr>
          <w:p>
            <w:hyperlink r:id="rId7">
              <w:r>
                <w:rPr>
                  <w:b/>
                  <w:color w:val="9B1C1C"/>
                </w:rPr>
                <w:t>Information médicale importante à vérifier — Audio 12:22</w:t>
              </w:r>
            </w:hyperlink>
          </w:p>
          <w:p>
            <w:r>
              <w:t xml:space="preserve">Ce bloc démontre le signalement visuel d'une information sensible. Le texte est fictif ; aucune conduite clinique ne doit en être déduite.</w:t>
            </w:r>
          </w:p>
        </w:tc>
      </w:tr>
    </w:tbl>
    <w:p>
      <w:pPr>
        <w:pStyle w:val="Heading1"/>
      </w:pPr>
      <w:bookmarkStart w:id="3" w:name="section_3"/>
      <w:r>
        <w:t xml:space="preserve">2. De la cellule au tissu</w:t>
      </w:r>
      <w:bookmarkEnd w:id="3"/>
    </w:p>
    <w:p>
      <w:pPr>
        <w:pStyle w:val="Normal"/>
      </w:pPr>
      <w:r>
        <w:t xml:space="preserve">Le document peut regrouper les explications successives tout en conservant une formulation fidèle à la transcription validée.</w:t>
      </w:r>
    </w:p>
    <w:p>
      <w:pPr>
        <w:pStyle w:val="TableCaption"/>
      </w:pPr>
      <w:r>
        <w:t xml:space="preserve">Exemple de synthèse structurée</w:t>
      </w:r>
    </w:p>
    <w:tbl>
      <w:tblPr>
        <w:tblW w:w="9360" w:type="dxa"/>
        <w:tblInd w:w="120" w:type="dxa"/>
        <w:tblLayout w:type="fixed"/>
        <w:tblBorders>
          <w:top w:val="single" w:sz="6" w:color="B8C2D1"/>
          <w:left w:val="single" w:sz="6" w:color="B8C2D1"/>
          <w:bottom w:val="single" w:sz="6" w:color="B8C2D1"/>
          <w:right w:val="single" w:sz="6" w:color="B8C2D1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w="1560" w:type="dxa"/>
            <w:vAlign w:val="center"/>
            <w:shd w:val="clear" w:fill="EAF0FF"/>
          </w:tcPr>
          <w:p>
            <w:r>
              <w:rPr>
                <w:b/>
              </w:rPr>
              <w:t xml:space="preserve">Niveau</w:t>
            </w:r>
          </w:p>
        </w:tc>
        <w:tc>
          <w:tcPr>
            <w:tcW w:w="3120" w:type="dxa"/>
            <w:vAlign w:val="center"/>
            <w:shd w:val="clear" w:fill="EAF0FF"/>
          </w:tcPr>
          <w:p>
            <w:r>
              <w:rPr>
                <w:b/>
              </w:rPr>
              <w:t xml:space="preserve">Exemple</w:t>
            </w:r>
          </w:p>
        </w:tc>
        <w:tc>
          <w:tcPr>
            <w:tcW w:w="4680" w:type="dxa"/>
            <w:vAlign w:val="center"/>
            <w:shd w:val="clear" w:fill="EAF0FF"/>
          </w:tcPr>
          <w:p>
            <w:r>
              <w:rPr>
                <w:b/>
              </w:rPr>
              <w:t xml:space="preserve">Fonction dans le cours</w:t>
            </w:r>
          </w:p>
        </w:tc>
      </w:tr>
      <w:tr>
        <w:trPr/>
        <w:tc>
          <w:tcPr>
            <w:tcW w:w="1560" w:type="dxa"/>
            <w:vAlign w:val="center"/>
          </w:tcPr>
          <w:p>
            <w:r>
              <w:t xml:space="preserve">Cellule</w:t>
            </w:r>
          </w:p>
        </w:tc>
        <w:tc>
          <w:tcPr>
            <w:tcW w:w="3120" w:type="dxa"/>
            <w:vAlign w:val="center"/>
          </w:tcPr>
          <w:p>
            <w:r>
              <w:t xml:space="preserve">Cellule épithéliale</w:t>
            </w:r>
          </w:p>
        </w:tc>
        <w:tc>
          <w:tcPr>
            <w:tcW w:w="4680" w:type="dxa"/>
            <w:vAlign w:val="center"/>
          </w:tcPr>
          <w:p>
            <w:r>
              <w:t xml:space="preserve">Unité de base</w:t>
            </w:r>
          </w:p>
        </w:tc>
      </w:tr>
      <w:tr>
        <w:trPr/>
        <w:tc>
          <w:tcPr>
            <w:tcW w:w="1560" w:type="dxa"/>
            <w:vAlign w:val="center"/>
          </w:tcPr>
          <w:p>
            <w:r>
              <w:t xml:space="preserve">Tissu</w:t>
            </w:r>
          </w:p>
        </w:tc>
        <w:tc>
          <w:tcPr>
            <w:tcW w:w="3120" w:type="dxa"/>
            <w:vAlign w:val="center"/>
          </w:tcPr>
          <w:p>
            <w:r>
              <w:t xml:space="preserve">Épithélium</w:t>
            </w:r>
          </w:p>
        </w:tc>
        <w:tc>
          <w:tcPr>
            <w:tcW w:w="4680" w:type="dxa"/>
            <w:vAlign w:val="center"/>
          </w:tcPr>
          <w:p>
            <w:r>
              <w:t xml:space="preserve">Organisation de cellules</w:t>
            </w:r>
          </w:p>
        </w:tc>
      </w:tr>
    </w:tbl>
    <w:p>
      <w:pPr>
        <w:spacing w:before="0" w:after="80"/>
      </w:pPr>
    </w:p>
    <w:p>
      <w:pPr>
        <w:pStyle w:val="ListBullet"/>
        <w:numPr>
          <w:ilvl w:val="0"/>
          <w:numId w:val="1"/>
        </w:numPr>
      </w:pPr>
      <w:r>
        <w:t xml:space="preserve">Les notions définies pendant le cours restent dans l'ordre de l'enseignant.</w:t>
      </w:r>
    </w:p>
    <w:p>
      <w:pPr>
        <w:pStyle w:val="ListBullet"/>
        <w:numPr>
          <w:ilvl w:val="0"/>
          <w:numId w:val="1"/>
        </w:numPr>
      </w:pPr>
      <w:r>
        <w:t xml:space="preserve">Les reformulations ajoutées par Scrib doivent être identifiables.</w:t>
      </w:r>
    </w:p>
    <w:p>
      <w:pPr>
        <w:pStyle w:val="ListBullet"/>
        <w:numPr>
          <w:ilvl w:val="0"/>
          <w:numId w:val="1"/>
        </w:numPr>
      </w:pPr>
      <w:r>
        <w:t xml:space="preserve">Les informations incertaines gardent un lien vers l'audio local.</w:t>
      </w:r>
    </w:p>
    <w:tbl>
      <w:tblPr>
        <w:tblW w:w="9360" w:type="dxa"/>
        <w:tblInd w:w="120" w:type="dxa"/>
        <w:tblLayout w:type="fixed"/>
        <w:tblBorders>
          <w:top w:val="single" w:sz="8" w:color="7A5A00"/>
          <w:left w:val="single" w:sz="18" w:color="7A5A00"/>
          <w:bottom w:val="single" w:sz="8" w:color="7A5A00"/>
          <w:right w:val="single" w:sz="8" w:color="7A5A00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FFF8E1"/>
          </w:tcPr>
          <w:p>
            <w:hyperlink r:id="rId8">
              <w:r>
                <w:rPr>
                  <w:b/>
                  <w:color w:val="7A5A00"/>
                </w:rPr>
                <w:t>Passage incertain — Audio 17:14</w:t>
              </w:r>
            </w:hyperlink>
          </w:p>
          <w:p>
            <w:r>
              <w:t xml:space="preserve">Le terme entendu dans l'enregistrement doit être confirmé avant la validation du document final.</w:t>
            </w:r>
          </w:p>
        </w:tc>
      </w:tr>
    </w:tbl>
    <w:p>
      <w:pPr>
        <w:pStyle w:val="Heading1"/>
      </w:pPr>
      <w:bookmarkStart w:id="4" w:name="section_4"/>
      <w:r>
        <w:t xml:space="preserve">3. Contrôle scientifique</w:t>
      </w:r>
      <w:bookmarkEnd w:id="4"/>
    </w:p>
    <w:p>
      <w:pPr>
        <w:pStyle w:val="Normal"/>
      </w:pPr>
      <w:r>
        <w:t xml:space="preserve">Une vérification externe ne remplace pas le cours. Elle ajoute l'autorité consultée, le lien canonique et la date de vérification, puis signale explicitement toute divergence.</w:t>
      </w:r>
    </w:p>
    <w:tbl>
      <w:tblPr>
        <w:tblW w:w="9360" w:type="dxa"/>
        <w:tblInd w:w="120" w:type="dxa"/>
        <w:tblLayout w:type="fixed"/>
        <w:tblBorders>
          <w:top w:val="single" w:sz="8" w:color="276749"/>
          <w:left w:val="single" w:sz="18" w:color="276749"/>
          <w:bottom w:val="single" w:sz="8" w:color="276749"/>
          <w:right w:val="single" w:sz="8" w:color="276749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val="clear" w:fill="EAF4EE"/>
          </w:tcPr>
          <w:p>
            <w:r>
              <w:rPr>
                <w:b/>
                <w:color w:val="276749"/>
              </w:rPr>
              <w:t>Mise à jour scientifique - exemple de présentation</w:t>
            </w:r>
          </w:p>
          <w:p>
            <w:r>
              <w:t xml:space="preserve">Cet encadré teste uniquement le style du document. Il ne contient aucune recommandation clinique.</w:t>
            </w:r>
          </w:p>
        </w:tc>
      </w:tr>
    </w:tbl>
    <w:p>
      <w:pPr>
        <w:pStyle w:val="Heading1"/>
      </w:pPr>
      <w:bookmarkStart w:id="5" w:name="sources"/>
      <w:r>
        <w:t xml:space="preserve">Sources et vérifications</w:t>
      </w:r>
      <w:bookmarkEnd w:id="5"/>
    </w:p>
    <w:p>
      <w:pPr>
        <w:pStyle w:val="Source"/>
      </w:pPr>
      <w:r>
        <w:rPr>
          <w:b/>
        </w:rPr>
        <w:t>Organisation mondiale de la Santé (démonstration du format) — </w:t>
      </w:r>
      <w:hyperlink r:id="rId6">
        <w:r>
          <w:rPr>
            <w:rStyle w:val="Hyperlink"/>
          </w:rPr>
          <w:t>Portail institutionnel</w:t>
        </w:r>
      </w:hyperlink>
      <w:r>
        <w:t xml:space="preserve"> (vérifié le 14/08/2026)</w:t>
      </w:r>
    </w:p>
    <w:sectPr>
      <w:headerReference w:type="default" r:id="rId1"/>
      <w:footerReference w:type="default" r:id="rId2"/>
      <w:pgSz w:w="11906" w:h="16838"/>
      <w:pgMar w:top="1273" w:right="1273" w:bottom="1273" w:left="1273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Scrib ·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>SCRIB · La cellule et les tissus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fr-F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color w:val="172033"/>
    </w:rPr>
  </w:style>
  <w:style w:type="paragraph" w:styleId="Title">
    <w:name w:val="Title"/>
    <w:basedOn w:val="Normal"/>
    <w:qFormat/>
    <w:pPr>
      <w:keepNext/>
      <w:spacing w:after="100"/>
    </w:pPr>
    <w:rPr>
      <w:b/>
      <w:sz w:val="54"/>
    </w:rPr>
  </w:style>
  <w:style w:type="paragraph" w:styleId="Subtitle">
    <w:name w:val="Subtitle"/>
    <w:basedOn w:val="Normal"/>
    <w:pPr>
      <w:keepNext/>
      <w:spacing w:after="240"/>
    </w:pPr>
    <w:rPr>
      <w:sz w:val="26"/>
      <w:color w:val="667085"/>
    </w:rPr>
  </w:style>
  <w:style w:type="paragraph" w:styleId="Kicker">
    <w:name w:val="Kicker"/>
    <w:basedOn w:val="Normal"/>
    <w:pPr>
      <w:keepNext/>
      <w:spacing w:after="40"/>
    </w:pPr>
    <w:rPr>
      <w:b/>
      <w:caps/>
      <w:sz w:val="19"/>
      <w:color w:val="355AF3"/>
    </w:rPr>
  </w:style>
  <w:style w:type="paragraph" w:styleId="Heading1">
    <w:name w:val="heading 1"/>
    <w:basedOn w:val="Normal"/>
    <w:qFormat/>
    <w:pPr>
      <w:keepNext/>
      <w:keepLines/>
      <w:spacing w:before="300" w:after="160"/>
      <w:outlineLvl w:val="0"/>
    </w:pPr>
    <w:rPr>
      <w:b/>
      <w:sz w:val="32"/>
      <w:color w:val="2E5AAC"/>
    </w:rPr>
  </w:style>
  <w:style w:type="paragraph" w:styleId="ListBullet">
    <w:name w:val="List Bullet"/>
    <w:basedOn w:val="Normal"/>
    <w:pPr>
      <w:ind w:left="540" w:hanging="270"/>
      <w:spacing w:after="80"/>
    </w:pPr>
  </w:style>
  <w:style w:type="paragraph" w:styleId="Metadata">
    <w:name w:val="Metadata"/>
    <w:basedOn w:val="Normal"/>
    <w:pPr>
      <w:keepNext/>
      <w:spacing w:after="40"/>
    </w:pPr>
    <w:rPr>
      <w:sz w:val="20"/>
      <w:color w:val="475467"/>
    </w:rPr>
  </w:style>
  <w:style w:type="paragraph" w:styleId="Disclaimer">
    <w:name w:val="Disclaimer"/>
    <w:basedOn w:val="Normal"/>
    <w:pPr>
      <w:spacing w:before="180"/>
      <w:shd w:val="clear" w:fill="EEF2FF"/>
      <w:ind w:left="160" w:right="160"/>
    </w:pPr>
    <w:rPr>
      <w:i/>
      <w:sz w:val="18"/>
      <w:color w:val="3448A4"/>
    </w:rPr>
  </w:style>
  <w:style w:type="paragraph" w:styleId="TOC1">
    <w:name w:val="toc 1"/>
    <w:basedOn w:val="Normal"/>
    <w:pPr>
      <w:ind w:left="240"/>
      <w:spacing w:after="60"/>
    </w:pPr>
  </w:style>
  <w:style w:type="paragraph" w:styleId="Source">
    <w:name w:val="Source"/>
    <w:basedOn w:val="Normal"/>
    <w:rPr>
      <w:sz w:val="20"/>
    </w:rPr>
  </w:style>
  <w:style w:type="paragraph" w:styleId="TableCaption">
    <w:name w:val="Table Caption"/>
    <w:basedOn w:val="Normal"/>
    <w:pPr>
      <w:keepNext/>
      <w:spacing w:before="120" w:after="80"/>
    </w:pPr>
    <w:rPr>
      <w:b/>
      <w:sz w:val="20"/>
    </w:rPr>
  </w:style>
  <w:style w:type="paragraph" w:styleId="FigureCaption">
    <w:name w:val="Figure Caption"/>
    <w:basedOn w:val="Normal"/>
    <w:pPr>
      <w:jc w:val="center"/>
      <w:spacing w:after="140"/>
    </w:pPr>
    <w:rPr>
      <w:i/>
      <w:sz w:val="19"/>
      <w:color w:val="667085"/>
    </w:rPr>
  </w:style>
  <w:style w:type="paragraph" w:styleId="Header">
    <w:name w:val="header"/>
    <w:basedOn w:val="Normal"/>
    <w:rPr>
      <w:sz w:val="17"/>
      <w:color w:val="98A2B3"/>
    </w:rPr>
  </w:style>
  <w:style w:type="paragraph" w:styleId="Footer">
    <w:name w:val="footer"/>
    <w:basedOn w:val="Normal"/>
    <w:pPr>
      <w:jc w:val="right"/>
    </w:pPr>
    <w:rPr>
      <w:sz w:val="17"/>
      <w:color w:val="98A2B3"/>
    </w:rPr>
  </w:style>
  <w:style w:type="character" w:styleId="Hyperlink">
    <w:name w:val="Hyperlink"/>
    <w:rPr>
      <w:color w:val="355AF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hyperlink" Target="https://www.who.int/fr" TargetMode="External"/><Relationship Id="rId7" Type="http://schemas.openxmlformats.org/officeDocument/2006/relationships/hyperlink" Target="scrib://audio?t=742" TargetMode="External"/><Relationship Id="rId8" Type="http://schemas.openxmlformats.org/officeDocument/2006/relationships/hyperlink" Target="scrib://audio?t=103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Scrib</Application>
  <AppVersion>0.1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 cellule et les tissus</dc:title>
  <dc:creator>Scrib</dc:creator>
  <cp:lastModifiedBy>Scrib</cp:lastModifiedBy>
  <dcterms:created xsi:type="dcterms:W3CDTF">2026-08-14T12:00:00Z</dcterms:created>
  <dcterms:modified xsi:type="dcterms:W3CDTF">2026-08-14T12:00:00Z</dcterms:modified>
</cp:coreProperties>
</file>