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b/>
          <w:color w:val="1B365D"/>
          <w:sz w:val="44"/>
        </w:rPr>
        <w:t>CAEG-Net: A Context-Adaptive Expert Gating Network for Short-Term Electricity Load Forecasting</w:t>
      </w:r>
    </w:p>
    <w:p>
      <w:pPr>
        <w:spacing w:before="0" w:after="280"/>
        <w:jc w:val="center"/>
      </w:pPr>
      <w:r>
        <w:rPr>
          <w:i/>
          <w:color w:val="64748B"/>
          <w:sz w:val="26"/>
        </w:rPr>
        <w:t>Deep Learning Course Project Report — Heterogeneous Neural Mixture-of-Experts, Causal Zero-Leakage Protocol, and Multi-Seed Benchmarking</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100" w:type="dxa"/>
              <w:bottom w:w="100" w:type="dxa"/>
              <w:left w:w="140" w:type="dxa"/>
              <w:right w:w="140" w:type="dxa"/>
            </w:tcMar>
          </w:tcPr>
          <w:p>
            <w:pPr>
              <w:spacing w:after="0"/>
              <w:jc w:val="center"/>
            </w:pPr>
            <w:r>
              <w:rPr>
                <w:b/>
                <w:color w:val="64748B"/>
                <w:sz w:val="17"/>
              </w:rPr>
              <w:t>PROJECT DOMAIN</w:t>
              <w:br/>
            </w:r>
            <w:r>
              <w:rPr>
                <w:b/>
                <w:color w:val="1B365D"/>
                <w:sz w:val="20"/>
              </w:rPr>
              <w:t>Deep Learning / Time-Series STLF</w:t>
            </w:r>
          </w:p>
        </w:tc>
        <w:tc>
          <w:tcPr>
            <w:tcW w:type="dxa" w:w="1872"/>
            <w:shd w:fill="F1F5F9"/>
            <w:tcMar>
              <w:top w:w="100" w:type="dxa"/>
              <w:bottom w:w="100" w:type="dxa"/>
              <w:left w:w="140" w:type="dxa"/>
              <w:right w:w="140" w:type="dxa"/>
            </w:tcMar>
          </w:tcPr>
          <w:p>
            <w:pPr>
              <w:spacing w:after="0"/>
              <w:jc w:val="center"/>
            </w:pPr>
            <w:r>
              <w:rPr>
                <w:b/>
                <w:color w:val="64748B"/>
                <w:sz w:val="17"/>
              </w:rPr>
              <w:t>EVALUATION MODE</w:t>
              <w:br/>
            </w:r>
            <w:r>
              <w:rPr>
                <w:b/>
                <w:color w:val="1B365D"/>
                <w:sz w:val="20"/>
              </w:rPr>
              <w:t>Anonymous Academic Review</w:t>
            </w:r>
          </w:p>
        </w:tc>
        <w:tc>
          <w:tcPr>
            <w:tcW w:type="dxa" w:w="1872"/>
            <w:shd w:fill="F1F5F9"/>
            <w:tcMar>
              <w:top w:w="100" w:type="dxa"/>
              <w:bottom w:w="100" w:type="dxa"/>
              <w:left w:w="140" w:type="dxa"/>
              <w:right w:w="140" w:type="dxa"/>
            </w:tcMar>
          </w:tcPr>
          <w:p>
            <w:pPr>
              <w:spacing w:after="0"/>
              <w:jc w:val="center"/>
            </w:pPr>
            <w:r>
              <w:rPr>
                <w:b/>
                <w:color w:val="64748B"/>
                <w:sz w:val="17"/>
              </w:rPr>
              <w:t>FROZEN ARCHITECTURE</w:t>
              <w:br/>
            </w:r>
            <w:r>
              <w:rPr>
                <w:b/>
                <w:color w:val="1B365D"/>
                <w:sz w:val="20"/>
              </w:rPr>
              <w:t>Canonical CAEG-Net V1</w:t>
            </w:r>
          </w:p>
        </w:tc>
        <w:tc>
          <w:tcPr>
            <w:tcW w:type="dxa" w:w="1872"/>
            <w:shd w:fill="F1F5F9"/>
            <w:tcMar>
              <w:top w:w="100" w:type="dxa"/>
              <w:bottom w:w="100" w:type="dxa"/>
              <w:left w:w="140" w:type="dxa"/>
              <w:right w:w="140" w:type="dxa"/>
            </w:tcMar>
          </w:tcPr>
          <w:p>
            <w:pPr>
              <w:spacing w:after="0"/>
              <w:jc w:val="center"/>
            </w:pPr>
            <w:r>
              <w:rPr>
                <w:b/>
                <w:color w:val="64748B"/>
                <w:sz w:val="17"/>
              </w:rPr>
              <w:t>TOTAL PARAMETERS</w:t>
              <w:br/>
            </w:r>
            <w:r>
              <w:rPr>
                <w:b/>
                <w:color w:val="1B365D"/>
                <w:sz w:val="20"/>
              </w:rPr>
              <w:t>121,531 Trainable Parameters</w:t>
            </w:r>
          </w:p>
        </w:tc>
        <w:tc>
          <w:tcPr>
            <w:tcW w:type="dxa" w:w="1872"/>
            <w:shd w:fill="F1F5F9"/>
            <w:tcMar>
              <w:top w:w="100" w:type="dxa"/>
              <w:bottom w:w="100" w:type="dxa"/>
              <w:left w:w="140" w:type="dxa"/>
              <w:right w:w="140" w:type="dxa"/>
            </w:tcMar>
          </w:tcPr>
          <w:p>
            <w:pPr>
              <w:spacing w:after="0"/>
              <w:jc w:val="center"/>
            </w:pPr>
            <w:r>
              <w:rPr>
                <w:b/>
                <w:color w:val="64748B"/>
                <w:sz w:val="17"/>
              </w:rPr>
              <w:t>HORIZON / LOOKBACK</w:t>
              <w:br/>
            </w:r>
            <w:r>
              <w:rPr>
                <w:b/>
                <w:color w:val="1B365D"/>
                <w:sz w:val="20"/>
              </w:rPr>
              <w:t>24h Forecast / 168h History</w:t>
            </w:r>
          </w:p>
        </w:tc>
      </w:tr>
    </w:tbl>
    <w:p>
      <w:pPr>
        <w:spacing w:before="160" w:after="160"/>
      </w:pPr>
    </w:p>
    <w:p>
      <w:pPr>
        <w:keepNext/>
        <w:spacing w:before="360" w:after="120"/>
      </w:pPr>
      <w:r>
        <w:rPr>
          <w:b/>
          <w:color w:val="1B365D"/>
          <w:sz w:val="32"/>
        </w:rPr>
        <w:t>Abstract</w:t>
      </w:r>
    </w:p>
    <w:p>
      <w:pPr>
        <w:spacing w:after="100" w:line="276" w:lineRule="auto"/>
      </w:pPr>
      <w:r>
        <w:t>Short-term electricity load forecasting (STLF) across a 24-hour lead horizon represents a foundational operational requirement for modern power grid dispatch, generation scheduling, and renewable energy integration. Traditional monolithic neural network forecasters face an inherent inductive bias dilemma: recurrent networks (LSTM) capture smooth diurnal persistence but suffer from sequential bottlenecks and slow adaptation during abrupt ramp events; temporal convolutional networks (TCN) capture multi-scale patterns over broad receptive fields but exhibit parameter rigidity across shifting volatility regimes; and shallow convolutional networks (CNN) excel at localized high-frequency edge motifs while lacking global sequence context. In this project, we introduce CAEG-Net (Context-Adaptive Expert Gating Network), a parameter-efficient mixture-of-experts (MoE) architecture that coordinates three heterogeneous temporal neural experts (LSTM, TCN, CNN) through a lightweight, domain-informed context-adaptive gating router. Operating strictly under a zero-leakage causal protocol, CAEG-Net conditions its convex routing weights on a distilled 4-dimensional causal context vector—comprising normalized linear trend, volatility of first differences, 24-hour lag autocorrelation, and genuinely out-of-sample recent forecast error—extracted exclusively from the 168-hour historical lookback window. Across a rigorous five-seed stochastic evaluation on the Modern PJM Interconnection dataset (2018–2024), Canonical CAEG-Net V1 (121,531 trainable parameters) achieves an authoritative test Mean Absolute Error (MAE) of 250.97 ± 10.69 MW, outperforming standalone LSTM (291.73 MW, -13.97% error reduction), standalone TCN (259.33 MW, -3.22%), standalone CNN (432.08 MW, -41.92%), static equal-weight ensemble fusion (279.83 MW, -10.31%), and standard input-based gating (289.45 MW, -13.29%). Statistical significance is confirmed via non-overlapping daily-block hypothesis testing (K = 53 blocks, paired t-test p = 7.82e-6, Wilcoxon p = 1.04e-5). Cross-dataset validation on GEFCom2014 (12.41 ± 0.15 kW) and UCI Electricity (7.74 ± 0.30 MW) demonstrates cross-grid viability while highlighting structural regime trade-offs. The complete project is verified by a 35-test unit suite, an interactive Streamlit research dashboard, and a reproducible faculty review notebook.</w:t>
      </w:r>
    </w:p>
    <w:p>
      <w:pPr>
        <w:spacing w:after="100" w:line="276" w:lineRule="auto"/>
      </w:pPr>
      <w:r>
        <w:rPr>
          <w:b/>
          <w:color w:val="2C3E50"/>
        </w:rPr>
        <w:t xml:space="preserve">Index Terms— </w:t>
      </w:r>
      <w:r>
        <w:t>Keywords: Short-Term Load Forecasting, Mixture of Experts, Adaptive Gating Router, Causal Zero-Leakage Protocol, Temporal Convolutional Networks, Long Short-Term Memory, Multi-Seed Evaluation, Smart Grid Operational Dispatch.</w:t>
      </w:r>
    </w:p>
    <w:p>
      <w:pPr>
        <w:keepNext/>
        <w:spacing w:before="360" w:after="120"/>
      </w:pPr>
      <w:r>
        <w:rPr>
          <w:b/>
          <w:color w:val="1B365D"/>
          <w:sz w:val="32"/>
        </w:rPr>
        <w:t>1. Introduction</w:t>
      </w:r>
    </w:p>
    <w:p>
      <w:pPr>
        <w:keepNext/>
        <w:spacing w:before="280" w:after="80"/>
      </w:pPr>
      <w:r>
        <w:rPr>
          <w:b/>
          <w:color w:val="2C3E50"/>
          <w:sz w:val="26"/>
        </w:rPr>
        <w:t>1.1 Background and Operational Significance of STLF</w:t>
      </w:r>
    </w:p>
    <w:p>
      <w:pPr>
        <w:spacing w:after="100" w:line="276" w:lineRule="auto"/>
      </w:pPr>
      <w:r>
        <w:t>Electric power systems operate under a strict, instantaneous physical equilibrium constraint: electrical energy generation must precisely match aggregate consumption across transmission networks at every second. Discrepancies between generated power and system demand induce grid frequency instability, line congestion, unneeded spinning reserve activation, and in severe cases, cascading blackouts. Short-Term Load Forecasting (STLF)—specifically predicting aggregate electricity demand across lead times ranging from 1 hour to 24 hours ahead—serves as the primary operational input for day-ahead unit commitment, economic dispatch, reserve procurement, and wholesale power market clearinghouses such as PJM, CAISO, and ENTSO-E.</w:t>
      </w:r>
    </w:p>
    <w:p>
      <w:pPr>
        <w:spacing w:after="100" w:line="276" w:lineRule="auto"/>
      </w:pPr>
      <w:r>
        <w:t>With the rapid global integration of non-dispatchable intermittent renewable energy resources (utility-scale solar PV and wind) and the electrification of transportation (EV fast-charging corridors) and heating, electricity demand profiles have become increasingly non-stationary, volatile, and prone to abrupt, steep ramp events. Consequently, transmission operators require day-ahead forecasting models that provide high nominal accuracy while dynamically adapting to shifting load regimes.</w:t>
      </w:r>
    </w:p>
    <w:p>
      <w:pPr>
        <w:keepNext/>
        <w:spacing w:before="280" w:after="80"/>
      </w:pPr>
      <w:r>
        <w:rPr>
          <w:b/>
          <w:color w:val="2C3E50"/>
          <w:sz w:val="26"/>
        </w:rPr>
        <w:t>1.2 The Inductive Bias Dilemma in Monolithic Architectures</w:t>
      </w:r>
    </w:p>
    <w:p>
      <w:pPr>
        <w:spacing w:after="100" w:line="276" w:lineRule="auto"/>
      </w:pPr>
      <w:r>
        <w:t>For over three decades, the time-series forecasting literature has pursued monolithic neural architectures, each embodying a distinct temporal inductive bias:</w:t>
      </w:r>
    </w:p>
    <w:p>
      <w:pPr>
        <w:spacing w:after="100" w:line="276" w:lineRule="auto"/>
      </w:pPr>
      <w:r>
        <w:rPr>
          <w:b/>
          <w:color w:val="2C3E50"/>
        </w:rPr>
        <w:t xml:space="preserve">• Recurrent Inductive Bias: </w:t>
      </w:r>
      <w:r>
        <w:t>Long Short-Term Memory (LSTM) networks utilize gated recurrent cells to maintain hidden state memory across time steps. While highly effective at capturing smooth diurnal persistence and weekly periodic drift, their inherently sequential autoregressive computation is slow, and their hidden states exhibit inertia that dampens sudden high-frequency ramp events.</w:t>
      </w:r>
    </w:p>
    <w:p>
      <w:pPr>
        <w:spacing w:after="100" w:line="276" w:lineRule="auto"/>
      </w:pPr>
      <w:r>
        <w:rPr>
          <w:b/>
          <w:color w:val="2C3E50"/>
        </w:rPr>
        <w:t xml:space="preserve">• Dilated Convolutional Inductive Bias: </w:t>
      </w:r>
      <w:r>
        <w:t>Temporal Convolutional Networks (TCN) utilize dilated causal convolutions with residual skips to achieve exponentially broad receptive fields without future information leakage. While TCNs excel at multi-scale pattern extraction and parallel sequence processing, their static convolution kernels lack the flexible dynamic memory required when load trajectories transition between volatile industrial weekdays and quiescent residential weekends.</w:t>
      </w:r>
    </w:p>
    <w:p>
      <w:pPr>
        <w:spacing w:after="100" w:line="276" w:lineRule="auto"/>
      </w:pPr>
      <w:r>
        <w:rPr>
          <w:b/>
          <w:color w:val="2C3E50"/>
        </w:rPr>
        <w:t xml:space="preserve">• Local Spatial Motif Inductive Bias: </w:t>
      </w:r>
      <w:r>
        <w:t>Standard 1D Convolutional Neural Networks (CNN) extract sharp, localized edge features and transient ramps through compact spatial kernels, yet they lack the temporal receptive field necessary to perceive long-range diurnal baseline drift across 168-hour history windows.</w:t>
      </w:r>
    </w:p>
    <w:p>
      <w:pPr>
        <w:spacing w:after="100" w:line="276" w:lineRule="auto"/>
      </w:pPr>
      <w:r>
        <w:t>Crucially, empirical analysis reveals that no single monolithic architecture uniformly dominates across all operational regimes. As power grid conditions shift between steady baseload periods, peak ramps, and weekend troughs, the optimal forecaster changes dynamically. This fundamental observation motivates the design of a dynamic mixture-of-experts architecture.</w:t>
      </w:r>
    </w:p>
    <w:p>
      <w:pPr>
        <w:keepNext/>
        <w:spacing w:before="280" w:after="80"/>
      </w:pPr>
      <w:r>
        <w:rPr>
          <w:b/>
          <w:color w:val="2C3E50"/>
          <w:sz w:val="26"/>
        </w:rPr>
        <w:t>1.3 Problem Formulation &amp; Research Question</w:t>
      </w:r>
    </w:p>
    <w:p>
      <w:pPr>
        <w:spacing w:after="100" w:line="276" w:lineRule="auto"/>
      </w:pPr>
      <w:r>
        <w:t>Formally, at each forecast origin hour t, the model observes a historical univariate sequence of load measurements spanning the preceding lookback window L = 168 hours: X_t = [x_{t-167}, x_{t-166}, ..., x_t] in R^{168 x 1}. The objective is to forecast the future load trajectory across the entire day-ahead horizon H = 24 hours: Y_t = [y_{t+1}, y_{t+2}, ..., y_{t+24}] in R^{24}.</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0" w:line="276" w:lineRule="auto"/>
            </w:pPr>
            <w:r>
              <w:rPr>
                <w:b/>
                <w:color w:val="1B365D"/>
                <w:sz w:val="21"/>
              </w:rPr>
              <w:t xml:space="preserve">Core Research Question: </w:t>
            </w:r>
            <w:r>
              <w:rPr>
                <w:sz w:val="21"/>
              </w:rPr>
              <w:t>Can a lightweight, context-aware adaptive gating mechanism coordinating heterogeneous temporal neural inductive biases (LSTM, TCN, CNN)—conditioned strictly on causal historical sequence statistics and out-of-sample error feedback—consistently outperform both standalone individual experts and static ensemble fusion across diverse electrical power grids under a zero-leakage causal protocol?</w:t>
            </w:r>
          </w:p>
        </w:tc>
      </w:tr>
    </w:tbl>
    <w:p>
      <w:pPr>
        <w:spacing w:after="80"/>
      </w:pPr>
    </w:p>
    <w:p>
      <w:pPr>
        <w:keepNext/>
        <w:spacing w:before="280" w:after="80"/>
      </w:pPr>
      <w:r>
        <w:rPr>
          <w:b/>
          <w:color w:val="2C3E50"/>
          <w:sz w:val="26"/>
        </w:rPr>
        <w:t>1.4 Key Challenges</w:t>
      </w:r>
    </w:p>
    <w:p>
      <w:pPr>
        <w:spacing w:after="100" w:line="276" w:lineRule="auto"/>
      </w:pPr>
      <w:r>
        <w:rPr>
          <w:b/>
          <w:color w:val="2C3E50"/>
        </w:rPr>
        <w:t xml:space="preserve">Methodological Hurdles: </w:t>
      </w:r>
      <w:r>
        <w:t>Designing an effective context-adaptive forecaster presents three severe technical challenges:</w:t>
      </w:r>
    </w:p>
    <w:p>
      <w:pPr>
        <w:spacing w:after="100" w:line="276" w:lineRule="auto"/>
      </w:pPr>
      <w:r>
        <w:rPr>
          <w:b/>
          <w:color w:val="2C3E50"/>
        </w:rPr>
        <w:t xml:space="preserve">• Causal Integrity: </w:t>
      </w:r>
      <w:r>
        <w:t>1. Causal Independence &amp; Zero-Leakage: Many published STLF gating models inadvertently condition routing on future target statistics or fit scalers globally across train and test partitions. In an authentic deployment, future targets Y_t are strictly unobserved at origin t.</w:t>
      </w:r>
    </w:p>
    <w:p>
      <w:pPr>
        <w:spacing w:after="100" w:line="276" w:lineRule="auto"/>
      </w:pPr>
      <w:r>
        <w:rPr>
          <w:b/>
          <w:color w:val="2C3E50"/>
        </w:rPr>
        <w:t xml:space="preserve">• Gating Stability: </w:t>
      </w:r>
      <w:r>
        <w:t>2. Routing Instability &amp; Expert Collapse: End-to-end gating routers trained on raw inputs frequently collapse to a single dominant expert, starving other branches and degenerating into a poorly conditioned monolithic model.</w:t>
      </w:r>
    </w:p>
    <w:p>
      <w:pPr>
        <w:spacing w:after="100" w:line="276" w:lineRule="auto"/>
      </w:pPr>
      <w:r>
        <w:rPr>
          <w:b/>
          <w:color w:val="2C3E50"/>
        </w:rPr>
        <w:t xml:space="preserve">• Statistical Rigor: </w:t>
      </w:r>
      <w:r>
        <w:t>3. Autocorrelation in Overlapping Horizon Evaluation: In rolling-window STLF with a 1-hour stride, consecutive 24-hour forecast trajectories overlap by 23 hours. Standard i.i.d. hypothesis tests yield artificially deflated p-values. Statistical validation must evaluate disjoint daily blocks.</w:t>
      </w:r>
    </w:p>
    <w:p>
      <w:pPr>
        <w:keepNext/>
        <w:spacing w:before="280" w:after="80"/>
      </w:pPr>
      <w:r>
        <w:rPr>
          <w:b/>
          <w:color w:val="2C3E50"/>
          <w:sz w:val="26"/>
        </w:rPr>
        <w:t>1.5 Contributions and Impact</w:t>
      </w:r>
    </w:p>
    <w:p>
      <w:pPr>
        <w:spacing w:after="100" w:line="276" w:lineRule="auto"/>
      </w:pPr>
      <w:r>
        <w:rPr>
          <w:b/>
          <w:color w:val="2C3E50"/>
        </w:rPr>
        <w:t xml:space="preserve">Project Highlights: </w:t>
      </w:r>
      <w:r>
        <w:t>This project delivers four primary scientific and engineering contributions:</w:t>
      </w:r>
    </w:p>
    <w:p>
      <w:pPr>
        <w:spacing w:after="100" w:line="276" w:lineRule="auto"/>
      </w:pPr>
      <w:r>
        <w:rPr>
          <w:b/>
          <w:color w:val="2C3E50"/>
        </w:rPr>
        <w:t xml:space="preserve">1. Architecture: </w:t>
      </w:r>
      <w:r>
        <w:t>1. Canonical CAEG-Net V1 Architecture: A compact 121,531 parameter neural MoE orchestrating LSTM (56,152 params), TCN (36,952 params), and CNN (27,400 params) via a 1,027 parameter Softmax gating router (0.84% overhead).</w:t>
      </w:r>
    </w:p>
    <w:p>
      <w:pPr>
        <w:spacing w:after="100" w:line="276" w:lineRule="auto"/>
      </w:pPr>
      <w:r>
        <w:rPr>
          <w:b/>
          <w:color w:val="2C3E50"/>
        </w:rPr>
        <w:t xml:space="preserve">2. Causal Context: </w:t>
      </w:r>
      <w:r>
        <w:t>2. Causal 4D Context Vector Formulation: A domain-informed physical context extractor capturing normalized linear trend, volatility of first differences, 24h autocorrelation, and causal expanding-window recent forecast error, proven invariant under counterfactual perturbation.</w:t>
      </w:r>
    </w:p>
    <w:p>
      <w:pPr>
        <w:spacing w:after="100" w:line="276" w:lineRule="auto"/>
      </w:pPr>
      <w:r>
        <w:rPr>
          <w:b/>
          <w:color w:val="2C3E50"/>
        </w:rPr>
        <w:t xml:space="preserve">3. Empirical Validation: </w:t>
      </w:r>
      <w:r>
        <w:t>3. Multi-Dataset &amp; Multi-Seed Benchmark: Rigorous 5-seed evaluation on Modern PJM (250.97 MW MAE), GEFCom2014 (12.41 kW), and UCI Electricity (7.74 MW) with non-overlapping daily-block paired tests (p &lt; 0.001).</w:t>
      </w:r>
    </w:p>
    <w:p>
      <w:pPr>
        <w:spacing w:after="100" w:line="276" w:lineRule="auto"/>
      </w:pPr>
      <w:r>
        <w:rPr>
          <w:b/>
          <w:color w:val="2C3E50"/>
        </w:rPr>
        <w:t xml:space="preserve">4. Open-Source Artifacts: </w:t>
      </w:r>
      <w:r>
        <w:t>4. Production Deployment &amp; Live Simulator: An interactive Streamlit dashboard featuring 12 analytical panels and a live inference simulator capable of processing user-uploaded 168h CSV sequences with test-cache parity verification.</w:t>
      </w:r>
    </w:p>
    <w:p>
      <w:pPr>
        <w:keepNext/>
        <w:spacing w:before="280" w:after="80"/>
      </w:pPr>
      <w:r>
        <w:rPr>
          <w:b/>
          <w:color w:val="2C3E50"/>
          <w:sz w:val="26"/>
        </w:rPr>
        <w:t>1.6 Organization of the Report</w:t>
      </w:r>
    </w:p>
    <w:p>
      <w:pPr>
        <w:spacing w:after="100" w:line="276" w:lineRule="auto"/>
      </w:pPr>
      <w:r>
        <w:t>The remainder of this report is organized as follows: Section 2 provides a comprehensive Literature Survey and positions CAEG-Net against prior art. Section 3 details the System Architecture and mathematical formulation of the experts and router. Section 4 presents the Implementation, including causal data pipelines, zero-leakage test suites, hyperparameter protocols, and the live simulator. Section 5 presents Experimental Results and Discussion, encompassing multi-seed metrics, ablation studies, regime routing analysis, and statistical tests. Section 6 concludes the report with operational takeaways and future research directions. Section 7 provides complete academic References.</w:t>
      </w:r>
    </w:p>
    <w:p>
      <w:pPr>
        <w:keepNext/>
        <w:spacing w:before="360" w:after="120"/>
      </w:pPr>
      <w:r>
        <w:rPr>
          <w:b/>
          <w:color w:val="1B365D"/>
          <w:sz w:val="32"/>
        </w:rPr>
        <w:t>2. Literature Survey</w:t>
      </w:r>
    </w:p>
    <w:p>
      <w:pPr>
        <w:keepNext/>
        <w:spacing w:before="280" w:after="80"/>
      </w:pPr>
      <w:r>
        <w:rPr>
          <w:b/>
          <w:color w:val="2C3E50"/>
          <w:sz w:val="26"/>
        </w:rPr>
        <w:t>2.1 Classical Statistical &amp; Machine Learning Approaches</w:t>
      </w:r>
    </w:p>
    <w:p>
      <w:pPr>
        <w:spacing w:after="100" w:line="276" w:lineRule="auto"/>
      </w:pPr>
      <w:r>
        <w:t>Early short-term load forecasting methodologies relied heavily on linear statistical time-series models, most notably Auto-Regressive Integrated Moving Average (ARIMA) and Seasonal ARIMA (SARIMA) [20]. While mathematically elegant and providing closed-form analytical properties, ARIMA models assume linear autocorrelation structures and stationary or weakly differenced Gaussian processes. Consequently, they fail to accommodate heteroscedastic variance, non-linear weather interactions, and sudden load spikes. Support Vector Regression (SVR) with radial basis function kernels improved non-linear capacity but suffered from O(N^2) to O(N^3) computational scaling and an inability to adapt dynamically to regime shifts without manual feature re-engineering.</w:t>
      </w:r>
    </w:p>
    <w:p>
      <w:pPr>
        <w:keepNext/>
        <w:spacing w:before="280" w:after="80"/>
      </w:pPr>
      <w:r>
        <w:rPr>
          <w:b/>
          <w:color w:val="2C3E50"/>
          <w:sz w:val="26"/>
        </w:rPr>
        <w:t>2.2 Deep Recurrent Neural Networks (LSTM, GRU, BiLSTM)</w:t>
      </w:r>
    </w:p>
    <w:p>
      <w:pPr>
        <w:spacing w:after="100" w:line="276" w:lineRule="auto"/>
      </w:pPr>
      <w:r>
        <w:t>The introduction of Long Short-Term Memory networks by Hochreiter &amp; Schmidhuber [14] resolved the vanishing and exploding gradient problems inherent in standard recurrent neural networks (RNNs) through dedicated input, forget, and output gates. LSTMs quickly became the dominant deep learning baseline for energy forecasting. Mounir et al. [4] demonstrated that combining empirical mode decomposition (EMD) with Bidirectional LSTMs (BiLSTM) improved load forecasting accuracy in volatile microgrids. However, recurrent architectures remain fundamentally sequential: hidden state updates cannot be parallelized during training, and long sequences risk gradient attenuation over multi-day lookbacks.</w:t>
      </w:r>
    </w:p>
    <w:p>
      <w:pPr>
        <w:keepNext/>
        <w:spacing w:before="280" w:after="80"/>
      </w:pPr>
      <w:r>
        <w:rPr>
          <w:b/>
          <w:color w:val="2C3E50"/>
          <w:sz w:val="26"/>
        </w:rPr>
        <w:t>2.3 Dilated Causal Convolutional Networks (TCN)</w:t>
      </w:r>
    </w:p>
    <w:p>
      <w:pPr>
        <w:spacing w:after="100" w:line="276" w:lineRule="auto"/>
      </w:pPr>
      <w:r>
        <w:t>To overcome the sequential limitations of RNNs, Bai, Kolter, and Koltun [15] introduced Temporal Convolutional Networks (TCN). TCNs combine causal 1D convolutions (ensuring no future leakage) with dilated convolutions (exponentially expanding receptive fields as d = 2^l) and residual skip connections. In extensive benchmarks, TCNs matched or exceeded recurrent baselines while providing full training parallelization and stable gradients. However, in non-stationary power systems, TCNs suffer from static filter weights: a dilation filter optimized for steady baseload cannot dynamically alter its receptive behavior during abrupt holiday transitions or extreme weather ramps.</w:t>
      </w:r>
    </w:p>
    <w:p>
      <w:pPr>
        <w:keepNext/>
        <w:spacing w:before="280" w:after="80"/>
      </w:pPr>
      <w:r>
        <w:rPr>
          <w:b/>
          <w:color w:val="2C3E50"/>
          <w:sz w:val="26"/>
        </w:rPr>
        <w:t>2.4 Hybrid Temporal Models and Feature Fusion</w:t>
      </w:r>
    </w:p>
    <w:p>
      <w:pPr>
        <w:spacing w:after="100" w:line="276" w:lineRule="auto"/>
      </w:pPr>
      <w:r>
        <w:t>Recognizing the complementary strengths of recurrent and convolutional models, researchers proposed hybrid architectures. Sheng et al. [1] introduced LST-TCN, stacking LSTM recurrent layers with causal dilated TCN branches to forecast load across 3 to 48-hour horizons. Li et al. [2] extended this paradigm with an attentive residual LSTM-TCN hybrid, merging recurrent and convolutional feature maps via self-attention for integrated energy systems. Ullah et al. [8] surveyed CNN-LSTM hybrids, demonstrating that localized CNN front-ends effectively extract spatial features before feeding recurrent predictors. However, these hybrid models typically merge representations using static dense layers or unconstrained attention, which inflates parameter counts (often exceeding 500,000 parameters) and obscures expert decision interpretability.</w:t>
      </w:r>
    </w:p>
    <w:p>
      <w:pPr>
        <w:keepNext/>
        <w:spacing w:before="280" w:after="80"/>
      </w:pPr>
      <w:r>
        <w:rPr>
          <w:b/>
          <w:color w:val="2C3E50"/>
          <w:sz w:val="26"/>
        </w:rPr>
        <w:t>2.5 Mixture of Experts (MoE) in Time-Series Forecasting</w:t>
      </w:r>
    </w:p>
    <w:p>
      <w:pPr>
        <w:spacing w:after="100" w:line="276" w:lineRule="auto"/>
      </w:pPr>
      <w:r>
        <w:t>The Mixture-of-Experts (MoE) paradigm, originally formulated by Jacobs et al. [16], decomposes complex non-linear spaces by allocating sub-problems to specialized sub-networks coordinated by a parametric gating function. Shazeer et al. [17] scaled MoE to massive natural language models via sparse Top-k gating. In time-series forecasting, Hu et al. [3] proposed MoE with dynamic multi-level attention for multi-energy loads. Shi et al. [11] recently presented Time-MoE, scaling time-series foundation models to billions of parameters. TriForecaster [12] introduced tri-dimensional specialization across geographical regions. Sievers et al. [6] explored federated gating for distributed grids. However, existing time-series MoE approaches predominantly route based on raw input embeddings, which leads to router overfitting and fails to incorporate physical grid domain features.</w:t>
      </w:r>
    </w:p>
    <w:p>
      <w:pPr>
        <w:keepNext/>
        <w:spacing w:before="280" w:after="80"/>
      </w:pPr>
      <w:r>
        <w:rPr>
          <w:b/>
          <w:color w:val="2C3E50"/>
          <w:sz w:val="26"/>
        </w:rPr>
        <w:t>2.6 Drift-Aware Gating and Performance Feedback</w:t>
      </w:r>
    </w:p>
    <w:p>
      <w:pPr>
        <w:spacing w:after="100" w:line="276" w:lineRule="auto"/>
      </w:pPr>
      <w:r>
        <w:t>A critical limitation of conventional MoE is open-loop routing: the router selects experts based entirely on current sequence inputs, with no feedback regarding recent predictive success. The Dynamic TMoE framework [13] demonstrated that monitoring distribution drift improves gating responsiveness. Building on this principle, CAEG-Net incorporates causal out-of-sample recent forecast error as an explicit 4th context feature, providing the router with closed-loop empirical feedback while enforcing strict zero-leakage boundaries.</w:t>
      </w:r>
    </w:p>
    <w:p>
      <w:pPr>
        <w:keepNext/>
        <w:spacing w:before="280" w:after="80"/>
      </w:pPr>
      <w:r>
        <w:rPr>
          <w:b/>
          <w:color w:val="2C3E50"/>
          <w:sz w:val="26"/>
        </w:rPr>
        <w:t>2.7 Comparative Summary of Related Work</w:t>
      </w:r>
    </w:p>
    <w:p>
      <w:pPr>
        <w:spacing w:after="100" w:line="276" w:lineRule="auto"/>
      </w:pPr>
      <w:r>
        <w:t>Table 1 summarizes the key literature across architectural paradigm, gating mechanism, parameters, and limitations relative to CAEG-Net.</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872"/>
        <w:gridCol w:w="1872"/>
        <w:gridCol w:w="1872"/>
        <w:gridCol w:w="1872"/>
        <w:gridCol w:w="1872"/>
      </w:tblGrid>
      <w:tr>
        <w:tc>
          <w:tcPr>
            <w:tcW w:type="dxa" w:w="1728"/>
            <w:shd w:fill="1B365D"/>
            <w:tcMar>
              <w:top w:w="100" w:type="dxa"/>
              <w:bottom w:w="100" w:type="dxa"/>
              <w:left w:w="120" w:type="dxa"/>
              <w:right w:w="120" w:type="dxa"/>
            </w:tcMar>
          </w:tcPr>
          <w:p>
            <w:pPr>
              <w:spacing w:after="0"/>
              <w:jc w:val="center"/>
            </w:pPr>
            <w:r>
              <w:rPr>
                <w:b/>
                <w:color w:val="FFFFFF"/>
                <w:sz w:val="19"/>
              </w:rPr>
              <w:t>Model / Reference</w:t>
            </w:r>
          </w:p>
        </w:tc>
        <w:tc>
          <w:tcPr>
            <w:tcW w:type="dxa" w:w="1872"/>
            <w:shd w:fill="1B365D"/>
            <w:tcMar>
              <w:top w:w="100" w:type="dxa"/>
              <w:bottom w:w="100" w:type="dxa"/>
              <w:left w:w="120" w:type="dxa"/>
              <w:right w:w="120" w:type="dxa"/>
            </w:tcMar>
          </w:tcPr>
          <w:p>
            <w:pPr>
              <w:spacing w:after="0"/>
              <w:jc w:val="center"/>
            </w:pPr>
            <w:r>
              <w:rPr>
                <w:b/>
                <w:color w:val="FFFFFF"/>
                <w:sz w:val="19"/>
              </w:rPr>
              <w:t>Architectural Paradigm</w:t>
            </w:r>
          </w:p>
        </w:tc>
        <w:tc>
          <w:tcPr>
            <w:tcW w:type="dxa" w:w="1872"/>
            <w:shd w:fill="1B365D"/>
            <w:tcMar>
              <w:top w:w="100" w:type="dxa"/>
              <w:bottom w:w="100" w:type="dxa"/>
              <w:left w:w="120" w:type="dxa"/>
              <w:right w:w="120" w:type="dxa"/>
            </w:tcMar>
          </w:tcPr>
          <w:p>
            <w:pPr>
              <w:spacing w:after="0"/>
              <w:jc w:val="center"/>
            </w:pPr>
            <w:r>
              <w:rPr>
                <w:b/>
                <w:color w:val="FFFFFF"/>
                <w:sz w:val="19"/>
              </w:rPr>
              <w:t>Routing / Gating Strategy</w:t>
            </w:r>
          </w:p>
        </w:tc>
        <w:tc>
          <w:tcPr>
            <w:tcW w:type="dxa" w:w="1296"/>
            <w:shd w:fill="1B365D"/>
            <w:tcMar>
              <w:top w:w="100" w:type="dxa"/>
              <w:bottom w:w="100" w:type="dxa"/>
              <w:left w:w="120" w:type="dxa"/>
              <w:right w:w="120" w:type="dxa"/>
            </w:tcMar>
          </w:tcPr>
          <w:p>
            <w:pPr>
              <w:spacing w:after="0"/>
              <w:jc w:val="center"/>
            </w:pPr>
            <w:r>
              <w:rPr>
                <w:b/>
                <w:color w:val="FFFFFF"/>
                <w:sz w:val="19"/>
              </w:rPr>
              <w:t>Parameter Scale</w:t>
            </w:r>
          </w:p>
        </w:tc>
        <w:tc>
          <w:tcPr>
            <w:tcW w:type="dxa" w:w="2592"/>
            <w:shd w:fill="1B365D"/>
            <w:tcMar>
              <w:top w:w="100" w:type="dxa"/>
              <w:bottom w:w="100" w:type="dxa"/>
              <w:left w:w="120" w:type="dxa"/>
              <w:right w:w="120" w:type="dxa"/>
            </w:tcMar>
          </w:tcPr>
          <w:p>
            <w:pPr>
              <w:spacing w:after="0"/>
              <w:jc w:val="center"/>
            </w:pPr>
            <w:r>
              <w:rPr>
                <w:b/>
                <w:color w:val="FFFFFF"/>
                <w:sz w:val="19"/>
              </w:rPr>
              <w:t>Primary Limitation vs. CAEG-Net</w:t>
            </w:r>
          </w:p>
        </w:tc>
      </w:tr>
      <w:tr>
        <w:tc>
          <w:tcPr>
            <w:tcW w:type="dxa" w:w="1728"/>
            <w:shd w:fill="FFFFFF"/>
            <w:tcMar>
              <w:top w:w="80" w:type="dxa"/>
              <w:bottom w:w="80" w:type="dxa"/>
              <w:left w:w="120" w:type="dxa"/>
              <w:right w:w="120" w:type="dxa"/>
            </w:tcMar>
          </w:tcPr>
          <w:p>
            <w:pPr>
              <w:spacing w:after="0"/>
              <w:jc w:val="left"/>
            </w:pPr>
            <w:r>
              <w:rPr>
                <w:color w:val="1E293B"/>
                <w:sz w:val="19"/>
              </w:rPr>
              <w:t>SARIMA [20]</w:t>
            </w:r>
          </w:p>
        </w:tc>
        <w:tc>
          <w:tcPr>
            <w:tcW w:type="dxa" w:w="1872"/>
            <w:shd w:fill="FFFFFF"/>
            <w:tcMar>
              <w:top w:w="80" w:type="dxa"/>
              <w:bottom w:w="80" w:type="dxa"/>
              <w:left w:w="120" w:type="dxa"/>
              <w:right w:w="120" w:type="dxa"/>
            </w:tcMar>
          </w:tcPr>
          <w:p>
            <w:pPr>
              <w:spacing w:after="0"/>
              <w:jc w:val="left"/>
            </w:pPr>
            <w:r>
              <w:rPr>
                <w:color w:val="1E293B"/>
                <w:sz w:val="19"/>
              </w:rPr>
              <w:t>Classical Statistical</w:t>
            </w:r>
          </w:p>
        </w:tc>
        <w:tc>
          <w:tcPr>
            <w:tcW w:type="dxa" w:w="1872"/>
            <w:shd w:fill="FFFFFF"/>
            <w:tcMar>
              <w:top w:w="80" w:type="dxa"/>
              <w:bottom w:w="80" w:type="dxa"/>
              <w:left w:w="120" w:type="dxa"/>
              <w:right w:w="120" w:type="dxa"/>
            </w:tcMar>
          </w:tcPr>
          <w:p>
            <w:pPr>
              <w:spacing w:after="0"/>
              <w:jc w:val="left"/>
            </w:pPr>
            <w:r>
              <w:rPr>
                <w:color w:val="1E293B"/>
                <w:sz w:val="19"/>
              </w:rPr>
              <w:t>None (Static Linear)</w:t>
            </w:r>
          </w:p>
        </w:tc>
        <w:tc>
          <w:tcPr>
            <w:tcW w:type="dxa" w:w="1296"/>
            <w:shd w:fill="FFFFFF"/>
            <w:tcMar>
              <w:top w:w="80" w:type="dxa"/>
              <w:bottom w:w="80" w:type="dxa"/>
              <w:left w:w="120" w:type="dxa"/>
              <w:right w:w="120" w:type="dxa"/>
            </w:tcMar>
          </w:tcPr>
          <w:p>
            <w:pPr>
              <w:spacing w:after="0"/>
              <w:jc w:val="right"/>
            </w:pPr>
            <w:r>
              <w:rPr>
                <w:color w:val="1E293B"/>
                <w:sz w:val="19"/>
              </w:rPr>
              <w:t>&lt; 50</w:t>
            </w:r>
          </w:p>
        </w:tc>
        <w:tc>
          <w:tcPr>
            <w:tcW w:type="dxa" w:w="2592"/>
            <w:shd w:fill="FFFFFF"/>
            <w:tcMar>
              <w:top w:w="80" w:type="dxa"/>
              <w:bottom w:w="80" w:type="dxa"/>
              <w:left w:w="120" w:type="dxa"/>
              <w:right w:w="120" w:type="dxa"/>
            </w:tcMar>
          </w:tcPr>
          <w:p>
            <w:pPr>
              <w:spacing w:after="0"/>
              <w:jc w:val="left"/>
            </w:pPr>
            <w:r>
              <w:rPr>
                <w:color w:val="1E293B"/>
                <w:sz w:val="19"/>
              </w:rPr>
              <w:t>Linear stationary assumption; fails on non-linear ramps.</w:t>
            </w:r>
          </w:p>
        </w:tc>
      </w:tr>
      <w:tr>
        <w:tc>
          <w:tcPr>
            <w:tcW w:type="dxa" w:w="1728"/>
            <w:shd w:fill="F8FAFC"/>
            <w:tcMar>
              <w:top w:w="80" w:type="dxa"/>
              <w:bottom w:w="80" w:type="dxa"/>
              <w:left w:w="120" w:type="dxa"/>
              <w:right w:w="120" w:type="dxa"/>
            </w:tcMar>
          </w:tcPr>
          <w:p>
            <w:pPr>
              <w:spacing w:after="0"/>
              <w:jc w:val="left"/>
            </w:pPr>
            <w:r>
              <w:rPr>
                <w:color w:val="1E293B"/>
                <w:sz w:val="19"/>
              </w:rPr>
              <w:t>SVR [20]</w:t>
            </w:r>
          </w:p>
        </w:tc>
        <w:tc>
          <w:tcPr>
            <w:tcW w:type="dxa" w:w="1872"/>
            <w:shd w:fill="F8FAFC"/>
            <w:tcMar>
              <w:top w:w="80" w:type="dxa"/>
              <w:bottom w:w="80" w:type="dxa"/>
              <w:left w:w="120" w:type="dxa"/>
              <w:right w:w="120" w:type="dxa"/>
            </w:tcMar>
          </w:tcPr>
          <w:p>
            <w:pPr>
              <w:spacing w:after="0"/>
              <w:jc w:val="left"/>
            </w:pPr>
            <w:r>
              <w:rPr>
                <w:color w:val="1E293B"/>
                <w:sz w:val="19"/>
              </w:rPr>
              <w:t>Kernel Machine Learning</w:t>
            </w:r>
          </w:p>
        </w:tc>
        <w:tc>
          <w:tcPr>
            <w:tcW w:type="dxa" w:w="1872"/>
            <w:shd w:fill="F8FAFC"/>
            <w:tcMar>
              <w:top w:w="80" w:type="dxa"/>
              <w:bottom w:w="80" w:type="dxa"/>
              <w:left w:w="120" w:type="dxa"/>
              <w:right w:w="120" w:type="dxa"/>
            </w:tcMar>
          </w:tcPr>
          <w:p>
            <w:pPr>
              <w:spacing w:after="0"/>
              <w:jc w:val="left"/>
            </w:pPr>
            <w:r>
              <w:rPr>
                <w:color w:val="1E293B"/>
                <w:sz w:val="19"/>
              </w:rPr>
              <w:t>None (Kernel Projection)</w:t>
            </w:r>
          </w:p>
        </w:tc>
        <w:tc>
          <w:tcPr>
            <w:tcW w:type="dxa" w:w="1296"/>
            <w:shd w:fill="F8FAFC"/>
            <w:tcMar>
              <w:top w:w="80" w:type="dxa"/>
              <w:bottom w:w="80" w:type="dxa"/>
              <w:left w:w="120" w:type="dxa"/>
              <w:right w:w="120" w:type="dxa"/>
            </w:tcMar>
          </w:tcPr>
          <w:p>
            <w:pPr>
              <w:spacing w:after="0"/>
              <w:jc w:val="left"/>
            </w:pPr>
            <w:r>
              <w:rPr>
                <w:color w:val="1E293B"/>
                <w:sz w:val="19"/>
              </w:rPr>
              <w:t>O(N) SVs</w:t>
            </w:r>
          </w:p>
        </w:tc>
        <w:tc>
          <w:tcPr>
            <w:tcW w:type="dxa" w:w="2592"/>
            <w:shd w:fill="F8FAFC"/>
            <w:tcMar>
              <w:top w:w="80" w:type="dxa"/>
              <w:bottom w:w="80" w:type="dxa"/>
              <w:left w:w="120" w:type="dxa"/>
              <w:right w:w="120" w:type="dxa"/>
            </w:tcMar>
          </w:tcPr>
          <w:p>
            <w:pPr>
              <w:spacing w:after="0"/>
              <w:jc w:val="left"/>
            </w:pPr>
            <w:r>
              <w:rPr>
                <w:color w:val="1E293B"/>
                <w:sz w:val="19"/>
              </w:rPr>
              <w:t>High memory scaling; static handcrafted features.</w:t>
            </w:r>
          </w:p>
        </w:tc>
      </w:tr>
      <w:tr>
        <w:tc>
          <w:tcPr>
            <w:tcW w:type="dxa" w:w="1728"/>
            <w:shd w:fill="FFFFFF"/>
            <w:tcMar>
              <w:top w:w="80" w:type="dxa"/>
              <w:bottom w:w="80" w:type="dxa"/>
              <w:left w:w="120" w:type="dxa"/>
              <w:right w:w="120" w:type="dxa"/>
            </w:tcMar>
          </w:tcPr>
          <w:p>
            <w:pPr>
              <w:spacing w:after="0"/>
              <w:jc w:val="left"/>
            </w:pPr>
            <w:r>
              <w:rPr>
                <w:color w:val="1E293B"/>
                <w:sz w:val="19"/>
              </w:rPr>
              <w:t>LSTM Baseline [14]</w:t>
            </w:r>
          </w:p>
        </w:tc>
        <w:tc>
          <w:tcPr>
            <w:tcW w:type="dxa" w:w="1872"/>
            <w:shd w:fill="FFFFFF"/>
            <w:tcMar>
              <w:top w:w="80" w:type="dxa"/>
              <w:bottom w:w="80" w:type="dxa"/>
              <w:left w:w="120" w:type="dxa"/>
              <w:right w:w="120" w:type="dxa"/>
            </w:tcMar>
          </w:tcPr>
          <w:p>
            <w:pPr>
              <w:spacing w:after="0"/>
              <w:jc w:val="left"/>
            </w:pPr>
            <w:r>
              <w:rPr>
                <w:color w:val="1E293B"/>
                <w:sz w:val="19"/>
              </w:rPr>
              <w:t>Recurrent Deep Learning</w:t>
            </w:r>
          </w:p>
        </w:tc>
        <w:tc>
          <w:tcPr>
            <w:tcW w:type="dxa" w:w="1872"/>
            <w:shd w:fill="FFFFFF"/>
            <w:tcMar>
              <w:top w:w="80" w:type="dxa"/>
              <w:bottom w:w="80" w:type="dxa"/>
              <w:left w:w="120" w:type="dxa"/>
              <w:right w:w="120" w:type="dxa"/>
            </w:tcMar>
          </w:tcPr>
          <w:p>
            <w:pPr>
              <w:spacing w:after="0"/>
              <w:jc w:val="left"/>
            </w:pPr>
            <w:r>
              <w:rPr>
                <w:color w:val="1E293B"/>
                <w:sz w:val="19"/>
              </w:rPr>
              <w:t>None (Monolithic)</w:t>
            </w:r>
          </w:p>
        </w:tc>
        <w:tc>
          <w:tcPr>
            <w:tcW w:type="dxa" w:w="1296"/>
            <w:shd w:fill="FFFFFF"/>
            <w:tcMar>
              <w:top w:w="80" w:type="dxa"/>
              <w:bottom w:w="80" w:type="dxa"/>
              <w:left w:w="120" w:type="dxa"/>
              <w:right w:w="120" w:type="dxa"/>
            </w:tcMar>
          </w:tcPr>
          <w:p>
            <w:pPr>
              <w:spacing w:after="0"/>
              <w:jc w:val="right"/>
            </w:pPr>
            <w:r>
              <w:rPr>
                <w:color w:val="1E293B"/>
                <w:sz w:val="19"/>
              </w:rPr>
              <w:t>~56K</w:t>
            </w:r>
          </w:p>
        </w:tc>
        <w:tc>
          <w:tcPr>
            <w:tcW w:type="dxa" w:w="2592"/>
            <w:shd w:fill="FFFFFF"/>
            <w:tcMar>
              <w:top w:w="80" w:type="dxa"/>
              <w:bottom w:w="80" w:type="dxa"/>
              <w:left w:w="120" w:type="dxa"/>
              <w:right w:w="120" w:type="dxa"/>
            </w:tcMar>
          </w:tcPr>
          <w:p>
            <w:pPr>
              <w:spacing w:after="0"/>
              <w:jc w:val="left"/>
            </w:pPr>
            <w:r>
              <w:rPr>
                <w:color w:val="1E293B"/>
                <w:sz w:val="19"/>
              </w:rPr>
              <w:t>Sequential bottleneck; slow adaptation to rapid ramps.</w:t>
            </w:r>
          </w:p>
        </w:tc>
      </w:tr>
      <w:tr>
        <w:tc>
          <w:tcPr>
            <w:tcW w:type="dxa" w:w="1728"/>
            <w:shd w:fill="F8FAFC"/>
            <w:tcMar>
              <w:top w:w="80" w:type="dxa"/>
              <w:bottom w:w="80" w:type="dxa"/>
              <w:left w:w="120" w:type="dxa"/>
              <w:right w:w="120" w:type="dxa"/>
            </w:tcMar>
          </w:tcPr>
          <w:p>
            <w:pPr>
              <w:spacing w:after="0"/>
              <w:jc w:val="left"/>
            </w:pPr>
            <w:r>
              <w:rPr>
                <w:color w:val="1E293B"/>
                <w:sz w:val="19"/>
              </w:rPr>
              <w:t>TCN Baseline [15]</w:t>
            </w:r>
          </w:p>
        </w:tc>
        <w:tc>
          <w:tcPr>
            <w:tcW w:type="dxa" w:w="1872"/>
            <w:shd w:fill="F8FAFC"/>
            <w:tcMar>
              <w:top w:w="80" w:type="dxa"/>
              <w:bottom w:w="80" w:type="dxa"/>
              <w:left w:w="120" w:type="dxa"/>
              <w:right w:w="120" w:type="dxa"/>
            </w:tcMar>
          </w:tcPr>
          <w:p>
            <w:pPr>
              <w:spacing w:after="0"/>
              <w:jc w:val="left"/>
            </w:pPr>
            <w:r>
              <w:rPr>
                <w:color w:val="1E293B"/>
                <w:sz w:val="19"/>
              </w:rPr>
              <w:t>Dilated Causal ConvNet</w:t>
            </w:r>
          </w:p>
        </w:tc>
        <w:tc>
          <w:tcPr>
            <w:tcW w:type="dxa" w:w="1872"/>
            <w:shd w:fill="F8FAFC"/>
            <w:tcMar>
              <w:top w:w="80" w:type="dxa"/>
              <w:bottom w:w="80" w:type="dxa"/>
              <w:left w:w="120" w:type="dxa"/>
              <w:right w:w="120" w:type="dxa"/>
            </w:tcMar>
          </w:tcPr>
          <w:p>
            <w:pPr>
              <w:spacing w:after="0"/>
              <w:jc w:val="left"/>
            </w:pPr>
            <w:r>
              <w:rPr>
                <w:color w:val="1E293B"/>
                <w:sz w:val="19"/>
              </w:rPr>
              <w:t>None (Monolithic)</w:t>
            </w:r>
          </w:p>
        </w:tc>
        <w:tc>
          <w:tcPr>
            <w:tcW w:type="dxa" w:w="1296"/>
            <w:shd w:fill="F8FAFC"/>
            <w:tcMar>
              <w:top w:w="80" w:type="dxa"/>
              <w:bottom w:w="80" w:type="dxa"/>
              <w:left w:w="120" w:type="dxa"/>
              <w:right w:w="120" w:type="dxa"/>
            </w:tcMar>
          </w:tcPr>
          <w:p>
            <w:pPr>
              <w:spacing w:after="0"/>
              <w:jc w:val="right"/>
            </w:pPr>
            <w:r>
              <w:rPr>
                <w:color w:val="1E293B"/>
                <w:sz w:val="19"/>
              </w:rPr>
              <w:t>~37K</w:t>
            </w:r>
          </w:p>
        </w:tc>
        <w:tc>
          <w:tcPr>
            <w:tcW w:type="dxa" w:w="2592"/>
            <w:shd w:fill="F8FAFC"/>
            <w:tcMar>
              <w:top w:w="80" w:type="dxa"/>
              <w:bottom w:w="80" w:type="dxa"/>
              <w:left w:w="120" w:type="dxa"/>
              <w:right w:w="120" w:type="dxa"/>
            </w:tcMar>
          </w:tcPr>
          <w:p>
            <w:pPr>
              <w:spacing w:after="0"/>
              <w:jc w:val="left"/>
            </w:pPr>
            <w:r>
              <w:rPr>
                <w:color w:val="1E293B"/>
                <w:sz w:val="19"/>
              </w:rPr>
              <w:t>Static kernel weights; rigid across volatility shifts.</w:t>
            </w:r>
          </w:p>
        </w:tc>
      </w:tr>
      <w:tr>
        <w:tc>
          <w:tcPr>
            <w:tcW w:type="dxa" w:w="1728"/>
            <w:shd w:fill="FFFFFF"/>
            <w:tcMar>
              <w:top w:w="80" w:type="dxa"/>
              <w:bottom w:w="80" w:type="dxa"/>
              <w:left w:w="120" w:type="dxa"/>
              <w:right w:w="120" w:type="dxa"/>
            </w:tcMar>
          </w:tcPr>
          <w:p>
            <w:pPr>
              <w:spacing w:after="0"/>
              <w:jc w:val="left"/>
            </w:pPr>
            <w:r>
              <w:rPr>
                <w:color w:val="1E293B"/>
                <w:sz w:val="19"/>
              </w:rPr>
              <w:t>LST-TCN [1]</w:t>
            </w:r>
          </w:p>
        </w:tc>
        <w:tc>
          <w:tcPr>
            <w:tcW w:type="dxa" w:w="1872"/>
            <w:shd w:fill="FFFFFF"/>
            <w:tcMar>
              <w:top w:w="80" w:type="dxa"/>
              <w:bottom w:w="80" w:type="dxa"/>
              <w:left w:w="120" w:type="dxa"/>
              <w:right w:w="120" w:type="dxa"/>
            </w:tcMar>
          </w:tcPr>
          <w:p>
            <w:pPr>
              <w:spacing w:after="0"/>
              <w:jc w:val="left"/>
            </w:pPr>
            <w:r>
              <w:rPr>
                <w:color w:val="1E293B"/>
                <w:sz w:val="19"/>
              </w:rPr>
              <w:t>Sequential Recurrent-Conv</w:t>
            </w:r>
          </w:p>
        </w:tc>
        <w:tc>
          <w:tcPr>
            <w:tcW w:type="dxa" w:w="1872"/>
            <w:shd w:fill="FFFFFF"/>
            <w:tcMar>
              <w:top w:w="80" w:type="dxa"/>
              <w:bottom w:w="80" w:type="dxa"/>
              <w:left w:w="120" w:type="dxa"/>
              <w:right w:w="120" w:type="dxa"/>
            </w:tcMar>
          </w:tcPr>
          <w:p>
            <w:pPr>
              <w:spacing w:after="0"/>
              <w:jc w:val="left"/>
            </w:pPr>
            <w:r>
              <w:rPr>
                <w:color w:val="1E293B"/>
                <w:sz w:val="19"/>
              </w:rPr>
              <w:t>Static Feature Concatenation</w:t>
            </w:r>
          </w:p>
        </w:tc>
        <w:tc>
          <w:tcPr>
            <w:tcW w:type="dxa" w:w="1296"/>
            <w:shd w:fill="FFFFFF"/>
            <w:tcMar>
              <w:top w:w="80" w:type="dxa"/>
              <w:bottom w:w="80" w:type="dxa"/>
              <w:left w:w="120" w:type="dxa"/>
              <w:right w:w="120" w:type="dxa"/>
            </w:tcMar>
          </w:tcPr>
          <w:p>
            <w:pPr>
              <w:spacing w:after="0"/>
              <w:jc w:val="right"/>
            </w:pPr>
            <w:r>
              <w:rPr>
                <w:color w:val="1E293B"/>
                <w:sz w:val="19"/>
              </w:rPr>
              <w:t>~180K</w:t>
            </w:r>
          </w:p>
        </w:tc>
        <w:tc>
          <w:tcPr>
            <w:tcW w:type="dxa" w:w="2592"/>
            <w:shd w:fill="FFFFFF"/>
            <w:tcMar>
              <w:top w:w="80" w:type="dxa"/>
              <w:bottom w:w="80" w:type="dxa"/>
              <w:left w:w="120" w:type="dxa"/>
              <w:right w:w="120" w:type="dxa"/>
            </w:tcMar>
          </w:tcPr>
          <w:p>
            <w:pPr>
              <w:spacing w:after="0"/>
              <w:jc w:val="left"/>
            </w:pPr>
            <w:r>
              <w:rPr>
                <w:color w:val="1E293B"/>
                <w:sz w:val="19"/>
              </w:rPr>
              <w:t>Static dense fusion; no context-adaptive routing.</w:t>
            </w:r>
          </w:p>
        </w:tc>
      </w:tr>
      <w:tr>
        <w:tc>
          <w:tcPr>
            <w:tcW w:type="dxa" w:w="1728"/>
            <w:shd w:fill="F8FAFC"/>
            <w:tcMar>
              <w:top w:w="80" w:type="dxa"/>
              <w:bottom w:w="80" w:type="dxa"/>
              <w:left w:w="120" w:type="dxa"/>
              <w:right w:w="120" w:type="dxa"/>
            </w:tcMar>
          </w:tcPr>
          <w:p>
            <w:pPr>
              <w:spacing w:after="0"/>
              <w:jc w:val="left"/>
            </w:pPr>
            <w:r>
              <w:rPr>
                <w:color w:val="1E293B"/>
                <w:sz w:val="19"/>
              </w:rPr>
              <w:t>Attention-TCN [2]</w:t>
            </w:r>
          </w:p>
        </w:tc>
        <w:tc>
          <w:tcPr>
            <w:tcW w:type="dxa" w:w="1872"/>
            <w:shd w:fill="F8FAFC"/>
            <w:tcMar>
              <w:top w:w="80" w:type="dxa"/>
              <w:bottom w:w="80" w:type="dxa"/>
              <w:left w:w="120" w:type="dxa"/>
              <w:right w:w="120" w:type="dxa"/>
            </w:tcMar>
          </w:tcPr>
          <w:p>
            <w:pPr>
              <w:spacing w:after="0"/>
              <w:jc w:val="left"/>
            </w:pPr>
            <w:r>
              <w:rPr>
                <w:color w:val="1E293B"/>
                <w:sz w:val="19"/>
              </w:rPr>
              <w:t>Hybrid Recurrent-Conv</w:t>
            </w:r>
          </w:p>
        </w:tc>
        <w:tc>
          <w:tcPr>
            <w:tcW w:type="dxa" w:w="1872"/>
            <w:shd w:fill="F8FAFC"/>
            <w:tcMar>
              <w:top w:w="80" w:type="dxa"/>
              <w:bottom w:w="80" w:type="dxa"/>
              <w:left w:w="120" w:type="dxa"/>
              <w:right w:w="120" w:type="dxa"/>
            </w:tcMar>
          </w:tcPr>
          <w:p>
            <w:pPr>
              <w:spacing w:after="0"/>
              <w:jc w:val="left"/>
            </w:pPr>
            <w:r>
              <w:rPr>
                <w:color w:val="1E293B"/>
                <w:sz w:val="19"/>
              </w:rPr>
              <w:t>Multi-Head Attention</w:t>
            </w:r>
          </w:p>
        </w:tc>
        <w:tc>
          <w:tcPr>
            <w:tcW w:type="dxa" w:w="1296"/>
            <w:shd w:fill="F8FAFC"/>
            <w:tcMar>
              <w:top w:w="80" w:type="dxa"/>
              <w:bottom w:w="80" w:type="dxa"/>
              <w:left w:w="120" w:type="dxa"/>
              <w:right w:w="120" w:type="dxa"/>
            </w:tcMar>
          </w:tcPr>
          <w:p>
            <w:pPr>
              <w:spacing w:after="0"/>
              <w:jc w:val="right"/>
            </w:pPr>
            <w:r>
              <w:rPr>
                <w:color w:val="1E293B"/>
                <w:sz w:val="19"/>
              </w:rPr>
              <w:t>~250K</w:t>
            </w:r>
          </w:p>
        </w:tc>
        <w:tc>
          <w:tcPr>
            <w:tcW w:type="dxa" w:w="2592"/>
            <w:shd w:fill="F8FAFC"/>
            <w:tcMar>
              <w:top w:w="80" w:type="dxa"/>
              <w:bottom w:w="80" w:type="dxa"/>
              <w:left w:w="120" w:type="dxa"/>
              <w:right w:w="120" w:type="dxa"/>
            </w:tcMar>
          </w:tcPr>
          <w:p>
            <w:pPr>
              <w:spacing w:after="0"/>
              <w:jc w:val="left"/>
            </w:pPr>
            <w:r>
              <w:rPr>
                <w:color w:val="1E293B"/>
                <w:sz w:val="19"/>
              </w:rPr>
              <w:t>High parameter bloat; black-box attention weights.</w:t>
            </w:r>
          </w:p>
        </w:tc>
      </w:tr>
      <w:tr>
        <w:tc>
          <w:tcPr>
            <w:tcW w:type="dxa" w:w="1728"/>
            <w:shd w:fill="FFFFFF"/>
            <w:tcMar>
              <w:top w:w="80" w:type="dxa"/>
              <w:bottom w:w="80" w:type="dxa"/>
              <w:left w:w="120" w:type="dxa"/>
              <w:right w:w="120" w:type="dxa"/>
            </w:tcMar>
          </w:tcPr>
          <w:p>
            <w:pPr>
              <w:spacing w:after="0"/>
              <w:jc w:val="left"/>
            </w:pPr>
            <w:r>
              <w:rPr>
                <w:color w:val="1E293B"/>
                <w:sz w:val="19"/>
              </w:rPr>
              <w:t>MoE Multi-Energy [3]</w:t>
            </w:r>
          </w:p>
        </w:tc>
        <w:tc>
          <w:tcPr>
            <w:tcW w:type="dxa" w:w="1872"/>
            <w:shd w:fill="FFFFFF"/>
            <w:tcMar>
              <w:top w:w="80" w:type="dxa"/>
              <w:bottom w:w="80" w:type="dxa"/>
              <w:left w:w="120" w:type="dxa"/>
              <w:right w:w="120" w:type="dxa"/>
            </w:tcMar>
          </w:tcPr>
          <w:p>
            <w:pPr>
              <w:spacing w:after="0"/>
              <w:jc w:val="left"/>
            </w:pPr>
            <w:r>
              <w:rPr>
                <w:color w:val="1E293B"/>
                <w:sz w:val="19"/>
              </w:rPr>
              <w:t>Mixture of Experts</w:t>
            </w:r>
          </w:p>
        </w:tc>
        <w:tc>
          <w:tcPr>
            <w:tcW w:type="dxa" w:w="1872"/>
            <w:shd w:fill="FFFFFF"/>
            <w:tcMar>
              <w:top w:w="80" w:type="dxa"/>
              <w:bottom w:w="80" w:type="dxa"/>
              <w:left w:w="120" w:type="dxa"/>
              <w:right w:w="120" w:type="dxa"/>
            </w:tcMar>
          </w:tcPr>
          <w:p>
            <w:pPr>
              <w:spacing w:after="0"/>
              <w:jc w:val="left"/>
            </w:pPr>
            <w:r>
              <w:rPr>
                <w:color w:val="1E293B"/>
                <w:sz w:val="19"/>
              </w:rPr>
              <w:t>Input-Feature Softmax</w:t>
            </w:r>
          </w:p>
        </w:tc>
        <w:tc>
          <w:tcPr>
            <w:tcW w:type="dxa" w:w="1296"/>
            <w:shd w:fill="FFFFFF"/>
            <w:tcMar>
              <w:top w:w="80" w:type="dxa"/>
              <w:bottom w:w="80" w:type="dxa"/>
              <w:left w:w="120" w:type="dxa"/>
              <w:right w:w="120" w:type="dxa"/>
            </w:tcMar>
          </w:tcPr>
          <w:p>
            <w:pPr>
              <w:spacing w:after="0"/>
              <w:jc w:val="right"/>
            </w:pPr>
            <w:r>
              <w:rPr>
                <w:color w:val="1E293B"/>
                <w:sz w:val="19"/>
              </w:rPr>
              <w:t>&gt; 400K</w:t>
            </w:r>
          </w:p>
        </w:tc>
        <w:tc>
          <w:tcPr>
            <w:tcW w:type="dxa" w:w="2592"/>
            <w:shd w:fill="FFFFFF"/>
            <w:tcMar>
              <w:top w:w="80" w:type="dxa"/>
              <w:bottom w:w="80" w:type="dxa"/>
              <w:left w:w="120" w:type="dxa"/>
              <w:right w:w="120" w:type="dxa"/>
            </w:tcMar>
          </w:tcPr>
          <w:p>
            <w:pPr>
              <w:spacing w:after="0"/>
              <w:jc w:val="left"/>
            </w:pPr>
            <w:r>
              <w:rPr>
                <w:color w:val="1E293B"/>
                <w:sz w:val="19"/>
              </w:rPr>
              <w:t>Routes on raw inputs; susceptible to expert collapse.</w:t>
            </w:r>
          </w:p>
        </w:tc>
      </w:tr>
      <w:tr>
        <w:tc>
          <w:tcPr>
            <w:tcW w:type="dxa" w:w="1728"/>
            <w:shd w:fill="F8FAFC"/>
            <w:tcMar>
              <w:top w:w="80" w:type="dxa"/>
              <w:bottom w:w="80" w:type="dxa"/>
              <w:left w:w="120" w:type="dxa"/>
              <w:right w:w="120" w:type="dxa"/>
            </w:tcMar>
          </w:tcPr>
          <w:p>
            <w:pPr>
              <w:spacing w:after="0"/>
              <w:jc w:val="left"/>
            </w:pPr>
            <w:r>
              <w:rPr>
                <w:color w:val="1E293B"/>
                <w:sz w:val="19"/>
              </w:rPr>
              <w:t>Time-MoE [11]</w:t>
            </w:r>
          </w:p>
        </w:tc>
        <w:tc>
          <w:tcPr>
            <w:tcW w:type="dxa" w:w="1872"/>
            <w:shd w:fill="F8FAFC"/>
            <w:tcMar>
              <w:top w:w="80" w:type="dxa"/>
              <w:bottom w:w="80" w:type="dxa"/>
              <w:left w:w="120" w:type="dxa"/>
              <w:right w:w="120" w:type="dxa"/>
            </w:tcMar>
          </w:tcPr>
          <w:p>
            <w:pPr>
              <w:spacing w:after="0"/>
              <w:jc w:val="left"/>
            </w:pPr>
            <w:r>
              <w:rPr>
                <w:color w:val="1E293B"/>
                <w:sz w:val="19"/>
              </w:rPr>
              <w:t>Foundation Model MoE</w:t>
            </w:r>
          </w:p>
        </w:tc>
        <w:tc>
          <w:tcPr>
            <w:tcW w:type="dxa" w:w="1872"/>
            <w:shd w:fill="F8FAFC"/>
            <w:tcMar>
              <w:top w:w="80" w:type="dxa"/>
              <w:bottom w:w="80" w:type="dxa"/>
              <w:left w:w="120" w:type="dxa"/>
              <w:right w:w="120" w:type="dxa"/>
            </w:tcMar>
          </w:tcPr>
          <w:p>
            <w:pPr>
              <w:spacing w:after="0"/>
              <w:jc w:val="left"/>
            </w:pPr>
            <w:r>
              <w:rPr>
                <w:color w:val="1E293B"/>
                <w:sz w:val="19"/>
              </w:rPr>
              <w:t>Sparse Top-k Gating</w:t>
            </w:r>
          </w:p>
        </w:tc>
        <w:tc>
          <w:tcPr>
            <w:tcW w:type="dxa" w:w="1296"/>
            <w:shd w:fill="F8FAFC"/>
            <w:tcMar>
              <w:top w:w="80" w:type="dxa"/>
              <w:bottom w:w="80" w:type="dxa"/>
              <w:left w:w="120" w:type="dxa"/>
              <w:right w:w="120" w:type="dxa"/>
            </w:tcMar>
          </w:tcPr>
          <w:p>
            <w:pPr>
              <w:spacing w:after="0"/>
              <w:jc w:val="right"/>
            </w:pPr>
            <w:r>
              <w:rPr>
                <w:color w:val="1E293B"/>
                <w:sz w:val="19"/>
              </w:rPr>
              <w:t>&gt; 100M</w:t>
            </w:r>
          </w:p>
        </w:tc>
        <w:tc>
          <w:tcPr>
            <w:tcW w:type="dxa" w:w="2592"/>
            <w:shd w:fill="F8FAFC"/>
            <w:tcMar>
              <w:top w:w="80" w:type="dxa"/>
              <w:bottom w:w="80" w:type="dxa"/>
              <w:left w:w="120" w:type="dxa"/>
              <w:right w:w="120" w:type="dxa"/>
            </w:tcMar>
          </w:tcPr>
          <w:p>
            <w:pPr>
              <w:spacing w:after="0"/>
              <w:jc w:val="left"/>
            </w:pPr>
            <w:r>
              <w:rPr>
                <w:color w:val="1E293B"/>
                <w:sz w:val="19"/>
              </w:rPr>
              <w:t>Massive computational overhead; non-deployable on edge.</w:t>
            </w:r>
          </w:p>
        </w:tc>
      </w:tr>
      <w:tr>
        <w:tc>
          <w:tcPr>
            <w:tcW w:type="dxa" w:w="1728"/>
            <w:shd w:fill="FFFFFF"/>
            <w:tcMar>
              <w:top w:w="80" w:type="dxa"/>
              <w:bottom w:w="80" w:type="dxa"/>
              <w:left w:w="120" w:type="dxa"/>
              <w:right w:w="120" w:type="dxa"/>
            </w:tcMar>
          </w:tcPr>
          <w:p>
            <w:pPr>
              <w:spacing w:after="0"/>
              <w:jc w:val="left"/>
            </w:pPr>
            <w:r>
              <w:rPr>
                <w:color w:val="1E293B"/>
                <w:sz w:val="19"/>
              </w:rPr>
              <w:t>Dynamic TMoE [13]</w:t>
            </w:r>
          </w:p>
        </w:tc>
        <w:tc>
          <w:tcPr>
            <w:tcW w:type="dxa" w:w="1872"/>
            <w:shd w:fill="FFFFFF"/>
            <w:tcMar>
              <w:top w:w="80" w:type="dxa"/>
              <w:bottom w:w="80" w:type="dxa"/>
              <w:left w:w="120" w:type="dxa"/>
              <w:right w:w="120" w:type="dxa"/>
            </w:tcMar>
          </w:tcPr>
          <w:p>
            <w:pPr>
              <w:spacing w:after="0"/>
              <w:jc w:val="left"/>
            </w:pPr>
            <w:r>
              <w:rPr>
                <w:color w:val="1E293B"/>
                <w:sz w:val="19"/>
              </w:rPr>
              <w:t>Drift-Aware MoE</w:t>
            </w:r>
          </w:p>
        </w:tc>
        <w:tc>
          <w:tcPr>
            <w:tcW w:type="dxa" w:w="1872"/>
            <w:shd w:fill="FFFFFF"/>
            <w:tcMar>
              <w:top w:w="80" w:type="dxa"/>
              <w:bottom w:w="80" w:type="dxa"/>
              <w:left w:w="120" w:type="dxa"/>
              <w:right w:w="120" w:type="dxa"/>
            </w:tcMar>
          </w:tcPr>
          <w:p>
            <w:pPr>
              <w:spacing w:after="0"/>
              <w:jc w:val="left"/>
            </w:pPr>
            <w:r>
              <w:rPr>
                <w:color w:val="1E293B"/>
                <w:sz w:val="19"/>
              </w:rPr>
              <w:t>Latent Distribution Shift</w:t>
            </w:r>
          </w:p>
        </w:tc>
        <w:tc>
          <w:tcPr>
            <w:tcW w:type="dxa" w:w="1296"/>
            <w:shd w:fill="FFFFFF"/>
            <w:tcMar>
              <w:top w:w="80" w:type="dxa"/>
              <w:bottom w:w="80" w:type="dxa"/>
              <w:left w:w="120" w:type="dxa"/>
              <w:right w:w="120" w:type="dxa"/>
            </w:tcMar>
          </w:tcPr>
          <w:p>
            <w:pPr>
              <w:spacing w:after="0"/>
              <w:jc w:val="right"/>
            </w:pPr>
            <w:r>
              <w:rPr>
                <w:color w:val="1E293B"/>
                <w:sz w:val="19"/>
              </w:rPr>
              <w:t>~320K</w:t>
            </w:r>
          </w:p>
        </w:tc>
        <w:tc>
          <w:tcPr>
            <w:tcW w:type="dxa" w:w="2592"/>
            <w:shd w:fill="FFFFFF"/>
            <w:tcMar>
              <w:top w:w="80" w:type="dxa"/>
              <w:bottom w:w="80" w:type="dxa"/>
              <w:left w:w="120" w:type="dxa"/>
              <w:right w:w="120" w:type="dxa"/>
            </w:tcMar>
          </w:tcPr>
          <w:p>
            <w:pPr>
              <w:spacing w:after="0"/>
              <w:jc w:val="left"/>
            </w:pPr>
            <w:r>
              <w:rPr>
                <w:color w:val="1E293B"/>
                <w:sz w:val="19"/>
              </w:rPr>
              <w:t>Complex latent space modeling; high inference latency.</w:t>
            </w:r>
          </w:p>
        </w:tc>
      </w:tr>
      <w:tr>
        <w:tc>
          <w:tcPr>
            <w:tcW w:type="dxa" w:w="1728"/>
            <w:shd w:fill="F8FAFC"/>
            <w:tcMar>
              <w:top w:w="80" w:type="dxa"/>
              <w:bottom w:w="80" w:type="dxa"/>
              <w:left w:w="120" w:type="dxa"/>
              <w:right w:w="120" w:type="dxa"/>
            </w:tcMar>
          </w:tcPr>
          <w:p>
            <w:pPr>
              <w:spacing w:after="0"/>
              <w:jc w:val="left"/>
            </w:pPr>
            <w:r>
              <w:rPr>
                <w:color w:val="1E293B"/>
                <w:sz w:val="19"/>
              </w:rPr>
              <w:t>Proposed CAEG-Net</w:t>
            </w:r>
          </w:p>
        </w:tc>
        <w:tc>
          <w:tcPr>
            <w:tcW w:type="dxa" w:w="1872"/>
            <w:shd w:fill="F8FAFC"/>
            <w:tcMar>
              <w:top w:w="80" w:type="dxa"/>
              <w:bottom w:w="80" w:type="dxa"/>
              <w:left w:w="120" w:type="dxa"/>
              <w:right w:w="120" w:type="dxa"/>
            </w:tcMar>
          </w:tcPr>
          <w:p>
            <w:pPr>
              <w:spacing w:after="0"/>
              <w:jc w:val="left"/>
            </w:pPr>
            <w:r>
              <w:rPr>
                <w:color w:val="1E293B"/>
                <w:sz w:val="19"/>
              </w:rPr>
              <w:t>Heterogeneous MoE</w:t>
            </w:r>
          </w:p>
        </w:tc>
        <w:tc>
          <w:tcPr>
            <w:tcW w:type="dxa" w:w="1872"/>
            <w:shd w:fill="F8FAFC"/>
            <w:tcMar>
              <w:top w:w="80" w:type="dxa"/>
              <w:bottom w:w="80" w:type="dxa"/>
              <w:left w:w="120" w:type="dxa"/>
              <w:right w:w="120" w:type="dxa"/>
            </w:tcMar>
          </w:tcPr>
          <w:p>
            <w:pPr>
              <w:spacing w:after="0"/>
              <w:jc w:val="left"/>
            </w:pPr>
            <w:r>
              <w:rPr>
                <w:color w:val="1E293B"/>
                <w:sz w:val="19"/>
              </w:rPr>
              <w:t>Causal 4D Physical Context</w:t>
            </w:r>
          </w:p>
        </w:tc>
        <w:tc>
          <w:tcPr>
            <w:tcW w:type="dxa" w:w="1296"/>
            <w:shd w:fill="F8FAFC"/>
            <w:tcMar>
              <w:top w:w="80" w:type="dxa"/>
              <w:bottom w:w="80" w:type="dxa"/>
              <w:left w:w="120" w:type="dxa"/>
              <w:right w:w="120" w:type="dxa"/>
            </w:tcMar>
          </w:tcPr>
          <w:p>
            <w:pPr>
              <w:spacing w:after="0"/>
              <w:jc w:val="right"/>
            </w:pPr>
            <w:r>
              <w:rPr>
                <w:color w:val="1E293B"/>
                <w:sz w:val="19"/>
              </w:rPr>
              <w:t>121,531</w:t>
            </w:r>
          </w:p>
        </w:tc>
        <w:tc>
          <w:tcPr>
            <w:tcW w:type="dxa" w:w="2592"/>
            <w:shd w:fill="F8FAFC"/>
            <w:tcMar>
              <w:top w:w="80" w:type="dxa"/>
              <w:bottom w:w="80" w:type="dxa"/>
              <w:left w:w="120" w:type="dxa"/>
              <w:right w:w="120" w:type="dxa"/>
            </w:tcMar>
          </w:tcPr>
          <w:p>
            <w:pPr>
              <w:spacing w:after="0"/>
              <w:jc w:val="left"/>
            </w:pPr>
            <w:r>
              <w:rPr>
                <w:color w:val="1E293B"/>
                <w:sz w:val="19"/>
              </w:rPr>
              <w:t>Compact, causal, domain-informed, zero-leakage verified.</w:t>
            </w:r>
          </w:p>
        </w:tc>
      </w:tr>
    </w:tbl>
    <w:p>
      <w:pPr>
        <w:spacing w:after="160"/>
      </w:pPr>
    </w:p>
    <w:p>
      <w:pPr>
        <w:keepNext/>
        <w:spacing w:before="280" w:after="80"/>
      </w:pPr>
      <w:r>
        <w:rPr>
          <w:b/>
          <w:color w:val="2C3E50"/>
          <w:sz w:val="26"/>
        </w:rPr>
        <w:t>2.8 Research Gaps &amp; CAEG-Net Positioning</w:t>
      </w:r>
    </w:p>
    <w:p>
      <w:pPr>
        <w:spacing w:after="100" w:line="276" w:lineRule="auto"/>
      </w:pPr>
      <w:r>
        <w:t>The survey reveals three critical research gaps in the existing literature: (1) Monolithic architectures cannot dynamically re-weight conflicting inductive biases during regime shifts; (2) Existing MoE models route on high-dimensional raw inputs, leading to expert starvation and lack of physical interpretability; and (3) Heuristic recent-error feedback models frequently introduce circular target leakage. CAEG-Net directly bridges these gaps by combining lightweight heterogeneous experts with an audited 4D physical context router.</w:t>
      </w:r>
    </w:p>
    <w:p>
      <w:pPr>
        <w:keepNext/>
        <w:spacing w:before="360" w:after="120"/>
      </w:pPr>
      <w:r>
        <w:rPr>
          <w:b/>
          <w:color w:val="1B365D"/>
          <w:sz w:val="32"/>
        </w:rPr>
        <w:t>3. System Architecture</w:t>
      </w:r>
    </w:p>
    <w:p>
      <w:pPr>
        <w:keepNext/>
        <w:spacing w:before="280" w:after="80"/>
      </w:pPr>
      <w:r>
        <w:rPr>
          <w:b/>
          <w:color w:val="2C3E50"/>
          <w:sz w:val="26"/>
        </w:rPr>
        <w:t>3.1 High-Level Architecture Overview &amp; Mathematical Formulation</w:t>
      </w:r>
    </w:p>
    <w:p>
      <w:pPr>
        <w:spacing w:after="100" w:line="276" w:lineRule="auto"/>
      </w:pPr>
      <w:r>
        <w:t>CAEG-Net (Canonical V1) transforms a 168-hour historical sequence of univariate electricity demand observations and its associated 4D causal context vector into an authoritative 24-hour day-ahead load forecast trajectory. The architecture comprises three parallel heterogeneous forecasting experts (LSTM, TCN, CNN), a 4-dimensional domain-informed causal context extractor, a non-linear latent context encoder MLP, and a Softmax gating router producing dynamic convex fusion weights.</w:t>
      </w:r>
    </w:p>
    <w:p>
      <w:pPr>
        <w:keepNext/>
        <w:spacing w:before="160" w:after="80"/>
        <w:jc w:val="center"/>
      </w:pPr>
      <w:r>
        <w:drawing>
          <wp:inline xmlns:a="http://schemas.openxmlformats.org/drawingml/2006/main" xmlns:pic="http://schemas.openxmlformats.org/drawingml/2006/picture">
            <wp:extent cx="5669280" cy="2021178"/>
            <wp:docPr id="1" name="Picture 1"/>
            <wp:cNvGraphicFramePr>
              <a:graphicFrameLocks noChangeAspect="1"/>
            </wp:cNvGraphicFramePr>
            <a:graphic>
              <a:graphicData uri="http://schemas.openxmlformats.org/drawingml/2006/picture">
                <pic:pic>
                  <pic:nvPicPr>
                    <pic:cNvPr id="0" name="fig_3_1_canonical_v1_architecture.png"/>
                    <pic:cNvPicPr/>
                  </pic:nvPicPr>
                  <pic:blipFill>
                    <a:blip r:embed="rId9"/>
                    <a:stretch>
                      <a:fillRect/>
                    </a:stretch>
                  </pic:blipFill>
                  <pic:spPr>
                    <a:xfrm>
                      <a:off x="0" y="0"/>
                      <a:ext cx="5669280" cy="2021178"/>
                    </a:xfrm>
                    <a:prstGeom prst="rect"/>
                  </pic:spPr>
                </pic:pic>
              </a:graphicData>
            </a:graphic>
          </wp:inline>
        </w:drawing>
      </w:r>
    </w:p>
    <w:p>
      <w:pPr>
        <w:spacing w:before="40" w:after="240"/>
        <w:jc w:val="center"/>
      </w:pPr>
      <w:r>
        <w:rPr>
          <w:i/>
          <w:color w:val="64748B"/>
          <w:sz w:val="19"/>
        </w:rPr>
        <w:t>Fig. 1: Complete System Architecture of Canonical CAEG-Net V1 (121,531 Trainable Parameters).</w:t>
      </w:r>
    </w:p>
    <w:p>
      <w:pPr>
        <w:spacing w:after="100" w:line="276" w:lineRule="auto"/>
      </w:pPr>
      <w:r>
        <w:t>Mathematically, the forward execution pipeline is defined as follows:</w:t>
      </w:r>
    </w:p>
    <w:p>
      <w:pPr>
        <w:spacing w:before="120" w:after="120"/>
        <w:jc w:val="center"/>
      </w:pPr>
      <w:r>
        <w:rPr>
          <w:rFonts w:ascii="Cambria Math" w:hAnsi="Cambria Math"/>
          <w:b/>
          <w:sz w:val="21"/>
        </w:rPr>
        <w:t xml:space="preserve">    \hat{\mathbf{y}}_{\text{LSTM}} = f_{\text{LSTM}}(\mathbf{X}_t), \quad \hat{\mathbf{y}}_{\text{TCN}} = f_{\text{TCN}}(\mathbf{X}_t), \quad \hat{\mathbf{y}}_{\text{CNN}} = f_{\text{CNN}}(\mathbf{X}_t)    </w:t>
      </w:r>
      <w:r>
        <w:rPr>
          <w:color w:val="64748B"/>
          <w:sz w:val="20"/>
        </w:rPr>
        <w:t>(1)</w:t>
      </w:r>
    </w:p>
    <w:p>
      <w:pPr>
        <w:spacing w:before="120" w:after="120"/>
        <w:jc w:val="center"/>
      </w:pPr>
      <w:r>
        <w:rPr>
          <w:rFonts w:ascii="Cambria Math" w:hAnsi="Cambria Math"/>
          <w:b/>
          <w:sz w:val="21"/>
        </w:rPr>
        <w:t xml:space="preserve">    \mathbf{e}_C = \text{ReLU}(\mathbf{W}_e \mathbf{c}_t + \mathbf{b}_e) \in \mathbb{R}^{16}    </w:t>
      </w:r>
      <w:r>
        <w:rPr>
          <w:color w:val="64748B"/>
          <w:sz w:val="20"/>
        </w:rPr>
        <w:t>(2)</w:t>
      </w:r>
    </w:p>
    <w:p>
      <w:pPr>
        <w:spacing w:before="120" w:after="120"/>
        <w:jc w:val="center"/>
      </w:pPr>
      <w:r>
        <w:rPr>
          <w:rFonts w:ascii="Cambria Math" w:hAnsi="Cambria Math"/>
          <w:b/>
          <w:sz w:val="21"/>
        </w:rPr>
        <w:t xml:space="preserve">    \mathbf{z}_g = \mathbf{W}_g \mathbf{e}_C + \mathbf{b}_g \in \mathbb{R}^3, \quad \mathbf{w}_t = \text{Softmax}(\mathbf{z}_g) = \left[w_{\text{LSTM}, t}, w_{\text{TCN}, t}, w_{\text{CNN}, t}\right]^T    </w:t>
      </w:r>
      <w:r>
        <w:rPr>
          <w:color w:val="64748B"/>
          <w:sz w:val="20"/>
        </w:rPr>
        <w:t>(3)</w:t>
      </w:r>
    </w:p>
    <w:p>
      <w:pPr>
        <w:spacing w:before="120" w:after="120"/>
        <w:jc w:val="center"/>
      </w:pPr>
      <w:r>
        <w:rPr>
          <w:rFonts w:ascii="Cambria Math" w:hAnsi="Cambria Math"/>
          <w:b/>
          <w:sz w:val="21"/>
        </w:rPr>
        <w:t xml:space="preserve">    \hat{\mathbf{y}}_t = w_{\text{LSTM}, t} \hat{\mathbf{y}}_{\text{LSTM}} + w_{\text{TCN}, t} \hat{\mathbf{y}}_{\text{TCN}} + w_{\text{CNN}, t} \hat{\mathbf{y}}_{\text{CNN}} = \sum_{k \in \{L, T, C\}} w_{k, t} \hat{\mathbf{y}}_{k, t}    </w:t>
      </w:r>
      <w:r>
        <w:rPr>
          <w:color w:val="64748B"/>
          <w:sz w:val="20"/>
        </w:rPr>
        <w:t>(4)</w:t>
      </w:r>
    </w:p>
    <w:p>
      <w:pPr>
        <w:spacing w:after="100" w:line="276" w:lineRule="auto"/>
      </w:pPr>
      <w:r>
        <w:t>Because the Softmax function enforces w_{k, t} &gt; 0 and sum_k w_{k, t} = 1.0 for every sample t, the final forecast y_hat_t is guaranteed to lie strictly within the convex hull of the individual expert predictions, preventing explosive out-of-distribution extrapolations.</w:t>
      </w:r>
    </w:p>
    <w:p>
      <w:pPr>
        <w:keepNext/>
        <w:spacing w:before="280" w:after="80"/>
      </w:pPr>
      <w:r>
        <w:rPr>
          <w:b/>
          <w:color w:val="2C3E50"/>
          <w:sz w:val="26"/>
        </w:rPr>
        <w:t>3.2 Heterogeneous Forecasting Experts</w:t>
      </w:r>
    </w:p>
    <w:p>
      <w:pPr>
        <w:spacing w:after="100" w:line="276" w:lineRule="auto"/>
      </w:pPr>
      <w:r>
        <w:t>To ensure meaningful architectural complementarity, each expert embodies a fundamentally distinct temporal modeling inductive bias:</w:t>
      </w:r>
    </w:p>
    <w:p>
      <w:pPr>
        <w:spacing w:after="100" w:line="276" w:lineRule="auto"/>
      </w:pPr>
      <w:r>
        <w:rPr>
          <w:b/>
          <w:color w:val="2C3E50"/>
        </w:rPr>
        <w:t xml:space="preserve">1. Recurrent Expert (LSTM): </w:t>
      </w:r>
      <w:r>
        <w:t>Consists of a 2-layer stacked LSTM with hidden dimension h = 64 and inter-layer dropout p = 0.1, followed by a linear projection head W_out in R^{64 x 24} mapping the final hidden state h_168 to the 24-hour horizon. Total parameters: 56,152 (46.20% of network).</w:t>
      </w:r>
    </w:p>
    <w:p>
      <w:pPr>
        <w:spacing w:after="100" w:line="276" w:lineRule="auto"/>
      </w:pPr>
      <w:r>
        <w:rPr>
          <w:b/>
          <w:color w:val="2C3E50"/>
        </w:rPr>
        <w:t xml:space="preserve">2. Dilated Causal Convolutional Expert (TCN): </w:t>
      </w:r>
      <w:r>
        <w:t>Consists of a 4-layer residual dilated causal 1D convolutional network with 32 channels, kernel size k = 3, and dilation factors d in {1, 2, 4, 8}. The receptive field R is computed as R = 1 + sum_{l=0}^3 2 * (k - 1) * d_l = 1 + 2 * (3-1) * (1+2+4+8) = 61 hours. A 1D adaptive average pooling layer and linear head project temporal features to 24 outputs. Total parameters: 36,952 (30.41% of network).</w:t>
      </w:r>
    </w:p>
    <w:p>
      <w:pPr>
        <w:spacing w:after="100" w:line="276" w:lineRule="auto"/>
      </w:pPr>
      <w:r>
        <w:rPr>
          <w:b/>
          <w:color w:val="2C3E50"/>
        </w:rPr>
        <w:t xml:space="preserve">3. Local Motif Convolutional Expert (CNN): </w:t>
      </w:r>
      <w:r>
        <w:t>Consists of a multi-stage 1D convolutional network with three Conv1D blocks (channels: 1 -&gt; 16 -&gt; 32 -&gt; 64, kernel sizes 5 and 3) interleaved with ReLU activations and MaxPooling (pool_size = 2), followed by a dense projection head (512 -&gt; 24). Total parameters: 27,400 (22.55% of network).</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872"/>
        <w:gridCol w:w="1872"/>
        <w:gridCol w:w="1872"/>
        <w:gridCol w:w="1872"/>
        <w:gridCol w:w="1872"/>
      </w:tblGrid>
      <w:tr>
        <w:tc>
          <w:tcPr>
            <w:tcW w:type="dxa" w:w="1728"/>
            <w:shd w:fill="1B365D"/>
            <w:tcMar>
              <w:top w:w="100" w:type="dxa"/>
              <w:bottom w:w="100" w:type="dxa"/>
              <w:left w:w="120" w:type="dxa"/>
              <w:right w:w="120" w:type="dxa"/>
            </w:tcMar>
          </w:tcPr>
          <w:p>
            <w:pPr>
              <w:spacing w:after="0"/>
              <w:jc w:val="center"/>
            </w:pPr>
            <w:r>
              <w:rPr>
                <w:b/>
                <w:color w:val="FFFFFF"/>
                <w:sz w:val="19"/>
              </w:rPr>
              <w:t>Expert Submodule</w:t>
            </w:r>
          </w:p>
        </w:tc>
        <w:tc>
          <w:tcPr>
            <w:tcW w:type="dxa" w:w="1872"/>
            <w:shd w:fill="1B365D"/>
            <w:tcMar>
              <w:top w:w="100" w:type="dxa"/>
              <w:bottom w:w="100" w:type="dxa"/>
              <w:left w:w="120" w:type="dxa"/>
              <w:right w:w="120" w:type="dxa"/>
            </w:tcMar>
          </w:tcPr>
          <w:p>
            <w:pPr>
              <w:spacing w:after="0"/>
              <w:jc w:val="center"/>
            </w:pPr>
            <w:r>
              <w:rPr>
                <w:b/>
                <w:color w:val="FFFFFF"/>
                <w:sz w:val="19"/>
              </w:rPr>
              <w:t>Inductive Bias</w:t>
            </w:r>
          </w:p>
        </w:tc>
        <w:tc>
          <w:tcPr>
            <w:tcW w:type="dxa" w:w="2880"/>
            <w:shd w:fill="1B365D"/>
            <w:tcMar>
              <w:top w:w="100" w:type="dxa"/>
              <w:bottom w:w="100" w:type="dxa"/>
              <w:left w:w="120" w:type="dxa"/>
              <w:right w:w="120" w:type="dxa"/>
            </w:tcMar>
          </w:tcPr>
          <w:p>
            <w:pPr>
              <w:spacing w:after="0"/>
              <w:jc w:val="center"/>
            </w:pPr>
            <w:r>
              <w:rPr>
                <w:b/>
                <w:color w:val="FFFFFF"/>
                <w:sz w:val="19"/>
              </w:rPr>
              <w:t>Key Layer Hyperparameters</w:t>
            </w:r>
          </w:p>
        </w:tc>
        <w:tc>
          <w:tcPr>
            <w:tcW w:type="dxa" w:w="1152"/>
            <w:shd w:fill="1B365D"/>
            <w:tcMar>
              <w:top w:w="100" w:type="dxa"/>
              <w:bottom w:w="100" w:type="dxa"/>
              <w:left w:w="120" w:type="dxa"/>
              <w:right w:w="120" w:type="dxa"/>
            </w:tcMar>
          </w:tcPr>
          <w:p>
            <w:pPr>
              <w:spacing w:after="0"/>
              <w:jc w:val="center"/>
            </w:pPr>
            <w:r>
              <w:rPr>
                <w:b/>
                <w:color w:val="FFFFFF"/>
                <w:sz w:val="19"/>
              </w:rPr>
              <w:t>Output Shape</w:t>
            </w:r>
          </w:p>
        </w:tc>
        <w:tc>
          <w:tcPr>
            <w:tcW w:type="dxa" w:w="1728"/>
            <w:shd w:fill="1B365D"/>
            <w:tcMar>
              <w:top w:w="100" w:type="dxa"/>
              <w:bottom w:w="100" w:type="dxa"/>
              <w:left w:w="120" w:type="dxa"/>
              <w:right w:w="120" w:type="dxa"/>
            </w:tcMar>
          </w:tcPr>
          <w:p>
            <w:pPr>
              <w:spacing w:after="0"/>
              <w:jc w:val="center"/>
            </w:pPr>
            <w:r>
              <w:rPr>
                <w:b/>
                <w:color w:val="FFFFFF"/>
                <w:sz w:val="19"/>
              </w:rPr>
              <w:t>Trainable Parameters</w:t>
            </w:r>
          </w:p>
        </w:tc>
      </w:tr>
      <w:tr>
        <w:tc>
          <w:tcPr>
            <w:tcW w:type="dxa" w:w="1728"/>
            <w:shd w:fill="FFFFFF"/>
            <w:tcMar>
              <w:top w:w="80" w:type="dxa"/>
              <w:bottom w:w="80" w:type="dxa"/>
              <w:left w:w="120" w:type="dxa"/>
              <w:right w:w="120" w:type="dxa"/>
            </w:tcMar>
          </w:tcPr>
          <w:p>
            <w:pPr>
              <w:spacing w:after="0"/>
              <w:jc w:val="left"/>
            </w:pPr>
            <w:r>
              <w:rPr>
                <w:color w:val="1E293B"/>
                <w:sz w:val="19"/>
              </w:rPr>
              <w:t>LSTM Expert</w:t>
            </w:r>
          </w:p>
        </w:tc>
        <w:tc>
          <w:tcPr>
            <w:tcW w:type="dxa" w:w="1872"/>
            <w:shd w:fill="FFFFFF"/>
            <w:tcMar>
              <w:top w:w="80" w:type="dxa"/>
              <w:bottom w:w="80" w:type="dxa"/>
              <w:left w:w="120" w:type="dxa"/>
              <w:right w:w="120" w:type="dxa"/>
            </w:tcMar>
          </w:tcPr>
          <w:p>
            <w:pPr>
              <w:spacing w:after="0"/>
              <w:jc w:val="left"/>
            </w:pPr>
            <w:r>
              <w:rPr>
                <w:color w:val="1E293B"/>
                <w:sz w:val="19"/>
              </w:rPr>
              <w:t>Recurrent / Autoregressive</w:t>
            </w:r>
          </w:p>
        </w:tc>
        <w:tc>
          <w:tcPr>
            <w:tcW w:type="dxa" w:w="2880"/>
            <w:shd w:fill="FFFFFF"/>
            <w:tcMar>
              <w:top w:w="80" w:type="dxa"/>
              <w:bottom w:w="80" w:type="dxa"/>
              <w:left w:w="120" w:type="dxa"/>
              <w:right w:w="120" w:type="dxa"/>
            </w:tcMar>
          </w:tcPr>
          <w:p>
            <w:pPr>
              <w:spacing w:after="0"/>
              <w:jc w:val="left"/>
            </w:pPr>
            <w:r>
              <w:rPr>
                <w:color w:val="1E293B"/>
                <w:sz w:val="19"/>
              </w:rPr>
              <w:t>2 Layers, Hidden Dim=64, Dropout=0.1</w:t>
            </w:r>
          </w:p>
        </w:tc>
        <w:tc>
          <w:tcPr>
            <w:tcW w:type="dxa" w:w="1152"/>
            <w:shd w:fill="FFFFFF"/>
            <w:tcMar>
              <w:top w:w="80" w:type="dxa"/>
              <w:bottom w:w="80" w:type="dxa"/>
              <w:left w:w="120" w:type="dxa"/>
              <w:right w:w="120" w:type="dxa"/>
            </w:tcMar>
          </w:tcPr>
          <w:p>
            <w:pPr>
              <w:spacing w:after="0"/>
              <w:jc w:val="right"/>
            </w:pPr>
            <w:r>
              <w:rPr>
                <w:color w:val="1E293B"/>
                <w:sz w:val="19"/>
              </w:rPr>
              <w:t>[B, 24]</w:t>
            </w:r>
          </w:p>
        </w:tc>
        <w:tc>
          <w:tcPr>
            <w:tcW w:type="dxa" w:w="1728"/>
            <w:shd w:fill="FFFFFF"/>
            <w:tcMar>
              <w:top w:w="80" w:type="dxa"/>
              <w:bottom w:w="80" w:type="dxa"/>
              <w:left w:w="120" w:type="dxa"/>
              <w:right w:w="120" w:type="dxa"/>
            </w:tcMar>
          </w:tcPr>
          <w:p>
            <w:pPr>
              <w:spacing w:after="0"/>
              <w:jc w:val="right"/>
            </w:pPr>
            <w:r>
              <w:rPr>
                <w:color w:val="1E293B"/>
                <w:sz w:val="19"/>
              </w:rPr>
              <w:t>56,152 (46.20%)</w:t>
            </w:r>
          </w:p>
        </w:tc>
      </w:tr>
      <w:tr>
        <w:tc>
          <w:tcPr>
            <w:tcW w:type="dxa" w:w="1728"/>
            <w:shd w:fill="F8FAFC"/>
            <w:tcMar>
              <w:top w:w="80" w:type="dxa"/>
              <w:bottom w:w="80" w:type="dxa"/>
              <w:left w:w="120" w:type="dxa"/>
              <w:right w:w="120" w:type="dxa"/>
            </w:tcMar>
          </w:tcPr>
          <w:p>
            <w:pPr>
              <w:spacing w:after="0"/>
              <w:jc w:val="left"/>
            </w:pPr>
            <w:r>
              <w:rPr>
                <w:color w:val="1E293B"/>
                <w:sz w:val="19"/>
              </w:rPr>
              <w:t>TCN Expert</w:t>
            </w:r>
          </w:p>
        </w:tc>
        <w:tc>
          <w:tcPr>
            <w:tcW w:type="dxa" w:w="1872"/>
            <w:shd w:fill="F8FAFC"/>
            <w:tcMar>
              <w:top w:w="80" w:type="dxa"/>
              <w:bottom w:w="80" w:type="dxa"/>
              <w:left w:w="120" w:type="dxa"/>
              <w:right w:w="120" w:type="dxa"/>
            </w:tcMar>
          </w:tcPr>
          <w:p>
            <w:pPr>
              <w:spacing w:after="0"/>
              <w:jc w:val="left"/>
            </w:pPr>
            <w:r>
              <w:rPr>
                <w:color w:val="1E293B"/>
                <w:sz w:val="19"/>
              </w:rPr>
              <w:t>Dilated Causal Residual</w:t>
            </w:r>
          </w:p>
        </w:tc>
        <w:tc>
          <w:tcPr>
            <w:tcW w:type="dxa" w:w="2880"/>
            <w:shd w:fill="F8FAFC"/>
            <w:tcMar>
              <w:top w:w="80" w:type="dxa"/>
              <w:bottom w:w="80" w:type="dxa"/>
              <w:left w:w="120" w:type="dxa"/>
              <w:right w:w="120" w:type="dxa"/>
            </w:tcMar>
          </w:tcPr>
          <w:p>
            <w:pPr>
              <w:spacing w:after="0"/>
              <w:jc w:val="left"/>
            </w:pPr>
            <w:r>
              <w:rPr>
                <w:color w:val="1E293B"/>
                <w:sz w:val="19"/>
              </w:rPr>
              <w:t>4 Residual Blocks, Channels=32, Dilations={1,2,4,8}, k=3</w:t>
            </w:r>
          </w:p>
        </w:tc>
        <w:tc>
          <w:tcPr>
            <w:tcW w:type="dxa" w:w="1152"/>
            <w:shd w:fill="F8FAFC"/>
            <w:tcMar>
              <w:top w:w="80" w:type="dxa"/>
              <w:bottom w:w="80" w:type="dxa"/>
              <w:left w:w="120" w:type="dxa"/>
              <w:right w:w="120" w:type="dxa"/>
            </w:tcMar>
          </w:tcPr>
          <w:p>
            <w:pPr>
              <w:spacing w:after="0"/>
              <w:jc w:val="right"/>
            </w:pPr>
            <w:r>
              <w:rPr>
                <w:color w:val="1E293B"/>
                <w:sz w:val="19"/>
              </w:rPr>
              <w:t>[B, 24]</w:t>
            </w:r>
          </w:p>
        </w:tc>
        <w:tc>
          <w:tcPr>
            <w:tcW w:type="dxa" w:w="1728"/>
            <w:shd w:fill="F8FAFC"/>
            <w:tcMar>
              <w:top w:w="80" w:type="dxa"/>
              <w:bottom w:w="80" w:type="dxa"/>
              <w:left w:w="120" w:type="dxa"/>
              <w:right w:w="120" w:type="dxa"/>
            </w:tcMar>
          </w:tcPr>
          <w:p>
            <w:pPr>
              <w:spacing w:after="0"/>
              <w:jc w:val="right"/>
            </w:pPr>
            <w:r>
              <w:rPr>
                <w:color w:val="1E293B"/>
                <w:sz w:val="19"/>
              </w:rPr>
              <w:t>36,952 (30.41%)</w:t>
            </w:r>
          </w:p>
        </w:tc>
      </w:tr>
      <w:tr>
        <w:tc>
          <w:tcPr>
            <w:tcW w:type="dxa" w:w="1728"/>
            <w:shd w:fill="FFFFFF"/>
            <w:tcMar>
              <w:top w:w="80" w:type="dxa"/>
              <w:bottom w:w="80" w:type="dxa"/>
              <w:left w:w="120" w:type="dxa"/>
              <w:right w:w="120" w:type="dxa"/>
            </w:tcMar>
          </w:tcPr>
          <w:p>
            <w:pPr>
              <w:spacing w:after="0"/>
              <w:jc w:val="left"/>
            </w:pPr>
            <w:r>
              <w:rPr>
                <w:color w:val="1E293B"/>
                <w:sz w:val="19"/>
              </w:rPr>
              <w:t>CNN Expert</w:t>
            </w:r>
          </w:p>
        </w:tc>
        <w:tc>
          <w:tcPr>
            <w:tcW w:type="dxa" w:w="1872"/>
            <w:shd w:fill="FFFFFF"/>
            <w:tcMar>
              <w:top w:w="80" w:type="dxa"/>
              <w:bottom w:w="80" w:type="dxa"/>
              <w:left w:w="120" w:type="dxa"/>
              <w:right w:w="120" w:type="dxa"/>
            </w:tcMar>
          </w:tcPr>
          <w:p>
            <w:pPr>
              <w:spacing w:after="0"/>
              <w:jc w:val="left"/>
            </w:pPr>
            <w:r>
              <w:rPr>
                <w:color w:val="1E293B"/>
                <w:sz w:val="19"/>
              </w:rPr>
              <w:t>Local Motif Convolution</w:t>
            </w:r>
          </w:p>
        </w:tc>
        <w:tc>
          <w:tcPr>
            <w:tcW w:type="dxa" w:w="2880"/>
            <w:shd w:fill="FFFFFF"/>
            <w:tcMar>
              <w:top w:w="80" w:type="dxa"/>
              <w:bottom w:w="80" w:type="dxa"/>
              <w:left w:w="120" w:type="dxa"/>
              <w:right w:w="120" w:type="dxa"/>
            </w:tcMar>
          </w:tcPr>
          <w:p>
            <w:pPr>
              <w:spacing w:after="0"/>
              <w:jc w:val="left"/>
            </w:pPr>
            <w:r>
              <w:rPr>
                <w:color w:val="1E293B"/>
                <w:sz w:val="19"/>
              </w:rPr>
              <w:t>3 Conv1D Blocks (16-&gt;32-&gt;64), MaxPool=2, Linear(512-&gt;24)</w:t>
            </w:r>
          </w:p>
        </w:tc>
        <w:tc>
          <w:tcPr>
            <w:tcW w:type="dxa" w:w="1152"/>
            <w:shd w:fill="FFFFFF"/>
            <w:tcMar>
              <w:top w:w="80" w:type="dxa"/>
              <w:bottom w:w="80" w:type="dxa"/>
              <w:left w:w="120" w:type="dxa"/>
              <w:right w:w="120" w:type="dxa"/>
            </w:tcMar>
          </w:tcPr>
          <w:p>
            <w:pPr>
              <w:spacing w:after="0"/>
              <w:jc w:val="right"/>
            </w:pPr>
            <w:r>
              <w:rPr>
                <w:color w:val="1E293B"/>
                <w:sz w:val="19"/>
              </w:rPr>
              <w:t>[B, 24]</w:t>
            </w:r>
          </w:p>
        </w:tc>
        <w:tc>
          <w:tcPr>
            <w:tcW w:type="dxa" w:w="1728"/>
            <w:shd w:fill="FFFFFF"/>
            <w:tcMar>
              <w:top w:w="80" w:type="dxa"/>
              <w:bottom w:w="80" w:type="dxa"/>
              <w:left w:w="120" w:type="dxa"/>
              <w:right w:w="120" w:type="dxa"/>
            </w:tcMar>
          </w:tcPr>
          <w:p>
            <w:pPr>
              <w:spacing w:after="0"/>
              <w:jc w:val="right"/>
            </w:pPr>
            <w:r>
              <w:rPr>
                <w:color w:val="1E293B"/>
                <w:sz w:val="19"/>
              </w:rPr>
              <w:t>27,400 (22.55%)</w:t>
            </w:r>
          </w:p>
        </w:tc>
      </w:tr>
      <w:tr>
        <w:tc>
          <w:tcPr>
            <w:tcW w:type="dxa" w:w="1728"/>
            <w:shd w:fill="F8FAFC"/>
            <w:tcMar>
              <w:top w:w="80" w:type="dxa"/>
              <w:bottom w:w="80" w:type="dxa"/>
              <w:left w:w="120" w:type="dxa"/>
              <w:right w:w="120" w:type="dxa"/>
            </w:tcMar>
          </w:tcPr>
          <w:p>
            <w:pPr>
              <w:spacing w:after="0"/>
              <w:jc w:val="left"/>
            </w:pPr>
            <w:r>
              <w:rPr>
                <w:color w:val="1E293B"/>
                <w:sz w:val="19"/>
              </w:rPr>
              <w:t>Combined Experts</w:t>
            </w:r>
          </w:p>
        </w:tc>
        <w:tc>
          <w:tcPr>
            <w:tcW w:type="dxa" w:w="1872"/>
            <w:shd w:fill="F8FAFC"/>
            <w:tcMar>
              <w:top w:w="80" w:type="dxa"/>
              <w:bottom w:w="80" w:type="dxa"/>
              <w:left w:w="120" w:type="dxa"/>
              <w:right w:w="120" w:type="dxa"/>
            </w:tcMar>
          </w:tcPr>
          <w:p>
            <w:pPr>
              <w:spacing w:after="0"/>
              <w:jc w:val="left"/>
            </w:pPr>
            <w:r>
              <w:rPr>
                <w:color w:val="1E293B"/>
                <w:sz w:val="19"/>
              </w:rPr>
              <w:t>Heterogeneous Multi-Scale</w:t>
            </w:r>
          </w:p>
        </w:tc>
        <w:tc>
          <w:tcPr>
            <w:tcW w:type="dxa" w:w="2880"/>
            <w:shd w:fill="F8FAFC"/>
            <w:tcMar>
              <w:top w:w="80" w:type="dxa"/>
              <w:bottom w:w="80" w:type="dxa"/>
              <w:left w:w="120" w:type="dxa"/>
              <w:right w:w="120" w:type="dxa"/>
            </w:tcMar>
          </w:tcPr>
          <w:p>
            <w:pPr>
              <w:spacing w:after="0"/>
              <w:jc w:val="left"/>
            </w:pPr>
            <w:r>
              <w:rPr>
                <w:color w:val="1E293B"/>
                <w:sz w:val="19"/>
              </w:rPr>
              <w:t>Parallel forward execution, shared input [B, 168, 1]</w:t>
            </w:r>
          </w:p>
        </w:tc>
        <w:tc>
          <w:tcPr>
            <w:tcW w:type="dxa" w:w="1152"/>
            <w:shd w:fill="F8FAFC"/>
            <w:tcMar>
              <w:top w:w="80" w:type="dxa"/>
              <w:bottom w:w="80" w:type="dxa"/>
              <w:left w:w="120" w:type="dxa"/>
              <w:right w:w="120" w:type="dxa"/>
            </w:tcMar>
          </w:tcPr>
          <w:p>
            <w:pPr>
              <w:spacing w:after="0"/>
              <w:jc w:val="right"/>
            </w:pPr>
            <w:r>
              <w:rPr>
                <w:color w:val="1E293B"/>
                <w:sz w:val="19"/>
              </w:rPr>
              <w:t>3 x [B, 24]</w:t>
            </w:r>
          </w:p>
        </w:tc>
        <w:tc>
          <w:tcPr>
            <w:tcW w:type="dxa" w:w="1728"/>
            <w:shd w:fill="F8FAFC"/>
            <w:tcMar>
              <w:top w:w="80" w:type="dxa"/>
              <w:bottom w:w="80" w:type="dxa"/>
              <w:left w:w="120" w:type="dxa"/>
              <w:right w:w="120" w:type="dxa"/>
            </w:tcMar>
          </w:tcPr>
          <w:p>
            <w:pPr>
              <w:spacing w:after="0"/>
              <w:jc w:val="right"/>
            </w:pPr>
            <w:r>
              <w:rPr>
                <w:color w:val="1E293B"/>
                <w:sz w:val="19"/>
              </w:rPr>
              <w:t>120,504 (99.16%)</w:t>
            </w:r>
          </w:p>
        </w:tc>
      </w:tr>
    </w:tbl>
    <w:p>
      <w:pPr>
        <w:spacing w:after="160"/>
      </w:pPr>
    </w:p>
    <w:p>
      <w:pPr>
        <w:keepNext/>
        <w:spacing w:before="280" w:after="80"/>
      </w:pPr>
      <w:r>
        <w:rPr>
          <w:b/>
          <w:color w:val="2C3E50"/>
          <w:sz w:val="26"/>
        </w:rPr>
        <w:t>3.3 Domain-Informed 4D Causal Context Feature Extractor</w:t>
      </w:r>
    </w:p>
    <w:p>
      <w:pPr>
        <w:spacing w:after="100" w:line="276" w:lineRule="auto"/>
      </w:pPr>
      <w:r>
        <w:t>Rather than conditioning the router on high-dimensional raw inputs (168 scalar values) which causes router overfitting and expert starvation, CAEG-Net condenses the input window into a physically meaningful 4-dimensional causal context vector c_t = [c_1, c_2, c_3, c_4]^T:</w:t>
      </w:r>
    </w:p>
    <w:p>
      <w:pPr>
        <w:spacing w:after="100" w:line="276" w:lineRule="auto"/>
      </w:pPr>
      <w:r>
        <w:rPr>
          <w:b/>
          <w:color w:val="2C3E50"/>
        </w:rPr>
        <w:t xml:space="preserve">• Feature 1 (Normalized Linear Trend): </w:t>
      </w:r>
      <w:r>
        <w:t>Computed via Ordinary Least Squares (OLS) linear regression slope of standardized load against normalized time steps over the 168-hour lookback: beta_1 = Cov(z, tau) / Var(tau). Normalized by historical standard deviation: c_1 = beta_1 / (s_z + 1e-6). Quantifies macro-level multi-day load trajectory direction.</w:t>
      </w:r>
    </w:p>
    <w:p>
      <w:pPr>
        <w:spacing w:after="100" w:line="276" w:lineRule="auto"/>
      </w:pPr>
      <w:r>
        <w:rPr>
          <w:b/>
          <w:color w:val="2C3E50"/>
        </w:rPr>
        <w:t xml:space="preserve">• Feature 2 (Volatility of First Differences): </w:t>
      </w:r>
      <w:r>
        <w:t>Computed as the sample standard deviation (ddof=1) of first-order hourly differences Delta z_i = z_i - z_{i-1} across the 168-hour window, normalized by training scale: c_2 = sigma(Delta y) / sigma_train. Quantifies high-frequency volatility and ramp intensity.</w:t>
      </w:r>
    </w:p>
    <w:p>
      <w:pPr>
        <w:spacing w:after="100" w:line="276" w:lineRule="auto"/>
      </w:pPr>
      <w:r>
        <w:rPr>
          <w:b/>
          <w:color w:val="2C3E50"/>
        </w:rPr>
        <w:t xml:space="preserve">• Feature 3 (24-Hour Periodicity Autocorrelation): </w:t>
      </w:r>
      <w:r>
        <w:t>Computed as the sample autocorrelation coefficient at lag k = 24 hours across the lookback window: c_3 = r_24 = sum(z_t - mu)(z_{t-24} - mu) / (sum(z_t - mu)^2). Quantifies diurnal regularity and cyclic predictability.</w:t>
      </w:r>
    </w:p>
    <w:p>
      <w:pPr>
        <w:spacing w:after="100" w:line="276" w:lineRule="auto"/>
      </w:pPr>
      <w:r>
        <w:rPr>
          <w:b/>
          <w:color w:val="2C3E50"/>
        </w:rPr>
        <w:t xml:space="preserve">• Feature 4 (Causal Recent Forecast Error): </w:t>
      </w:r>
      <w:r>
        <w:t>Computed as the Mean Absolute Error of the most recently completed out-of-sample 24-hour walk-forward forecast concluding at or before origin t: c_4 = MAE_{[t-23: t]} = (1/24) sum_{h=0}^{23} |y_{t-h} - y_hat_{t-h}|. Provides closed-loop feedback on empirical model accuracy.</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2340"/>
        <w:gridCol w:w="2340"/>
        <w:gridCol w:w="2340"/>
        <w:gridCol w:w="2340"/>
      </w:tblGrid>
      <w:tr>
        <w:tc>
          <w:tcPr>
            <w:tcW w:type="dxa" w:w="1584"/>
            <w:shd w:fill="1B365D"/>
            <w:tcMar>
              <w:top w:w="100" w:type="dxa"/>
              <w:bottom w:w="100" w:type="dxa"/>
              <w:left w:w="120" w:type="dxa"/>
              <w:right w:w="120" w:type="dxa"/>
            </w:tcMar>
          </w:tcPr>
          <w:p>
            <w:pPr>
              <w:spacing w:after="0"/>
              <w:jc w:val="center"/>
            </w:pPr>
            <w:r>
              <w:rPr>
                <w:b/>
                <w:color w:val="FFFFFF"/>
                <w:sz w:val="19"/>
              </w:rPr>
              <w:t>Context Feature</w:t>
            </w:r>
          </w:p>
        </w:tc>
        <w:tc>
          <w:tcPr>
            <w:tcW w:type="dxa" w:w="2160"/>
            <w:shd w:fill="1B365D"/>
            <w:tcMar>
              <w:top w:w="100" w:type="dxa"/>
              <w:bottom w:w="100" w:type="dxa"/>
              <w:left w:w="120" w:type="dxa"/>
              <w:right w:w="120" w:type="dxa"/>
            </w:tcMar>
          </w:tcPr>
          <w:p>
            <w:pPr>
              <w:spacing w:after="0"/>
              <w:jc w:val="center"/>
            </w:pPr>
            <w:r>
              <w:rPr>
                <w:b/>
                <w:color w:val="FFFFFF"/>
                <w:sz w:val="19"/>
              </w:rPr>
              <w:t>Mathematical Definition</w:t>
            </w:r>
          </w:p>
        </w:tc>
        <w:tc>
          <w:tcPr>
            <w:tcW w:type="dxa" w:w="3168"/>
            <w:shd w:fill="1B365D"/>
            <w:tcMar>
              <w:top w:w="100" w:type="dxa"/>
              <w:bottom w:w="100" w:type="dxa"/>
              <w:left w:w="120" w:type="dxa"/>
              <w:right w:w="120" w:type="dxa"/>
            </w:tcMar>
          </w:tcPr>
          <w:p>
            <w:pPr>
              <w:spacing w:after="0"/>
              <w:jc w:val="center"/>
            </w:pPr>
            <w:r>
              <w:rPr>
                <w:b/>
                <w:color w:val="FFFFFF"/>
                <w:sz w:val="19"/>
              </w:rPr>
              <w:t>Physical / Operational Meaning</w:t>
            </w:r>
          </w:p>
        </w:tc>
        <w:tc>
          <w:tcPr>
            <w:tcW w:type="dxa" w:w="2448"/>
            <w:shd w:fill="1B365D"/>
            <w:tcMar>
              <w:top w:w="100" w:type="dxa"/>
              <w:bottom w:w="100" w:type="dxa"/>
              <w:left w:w="120" w:type="dxa"/>
              <w:right w:w="120" w:type="dxa"/>
            </w:tcMar>
          </w:tcPr>
          <w:p>
            <w:pPr>
              <w:spacing w:after="0"/>
              <w:jc w:val="center"/>
            </w:pPr>
            <w:r>
              <w:rPr>
                <w:b/>
                <w:color w:val="FFFFFF"/>
                <w:sz w:val="19"/>
              </w:rPr>
              <w:t>Gating Role</w:t>
            </w:r>
          </w:p>
        </w:tc>
      </w:tr>
      <w:tr>
        <w:tc>
          <w:tcPr>
            <w:tcW w:type="dxa" w:w="1584"/>
            <w:shd w:fill="FFFFFF"/>
            <w:tcMar>
              <w:top w:w="80" w:type="dxa"/>
              <w:bottom w:w="80" w:type="dxa"/>
              <w:left w:w="120" w:type="dxa"/>
              <w:right w:w="120" w:type="dxa"/>
            </w:tcMar>
          </w:tcPr>
          <w:p>
            <w:pPr>
              <w:spacing w:after="0"/>
              <w:jc w:val="left"/>
            </w:pPr>
            <w:r>
              <w:rPr>
                <w:color w:val="1E293B"/>
                <w:sz w:val="19"/>
              </w:rPr>
              <w:t>Trend (c_1)</w:t>
            </w:r>
          </w:p>
        </w:tc>
        <w:tc>
          <w:tcPr>
            <w:tcW w:type="dxa" w:w="2160"/>
            <w:shd w:fill="FFFFFF"/>
            <w:tcMar>
              <w:top w:w="80" w:type="dxa"/>
              <w:bottom w:w="80" w:type="dxa"/>
              <w:left w:w="120" w:type="dxa"/>
              <w:right w:w="120" w:type="dxa"/>
            </w:tcMar>
          </w:tcPr>
          <w:p>
            <w:pPr>
              <w:spacing w:after="0"/>
              <w:jc w:val="left"/>
            </w:pPr>
            <w:r>
              <w:rPr>
                <w:color w:val="1E293B"/>
                <w:sz w:val="19"/>
              </w:rPr>
              <w:t>beta_1 / (s_z + 1e-6) [OLS Slope]</w:t>
            </w:r>
          </w:p>
        </w:tc>
        <w:tc>
          <w:tcPr>
            <w:tcW w:type="dxa" w:w="3168"/>
            <w:shd w:fill="FFFFFF"/>
            <w:tcMar>
              <w:top w:w="80" w:type="dxa"/>
              <w:bottom w:w="80" w:type="dxa"/>
              <w:left w:w="120" w:type="dxa"/>
              <w:right w:w="120" w:type="dxa"/>
            </w:tcMar>
          </w:tcPr>
          <w:p>
            <w:pPr>
              <w:spacing w:after="0"/>
              <w:jc w:val="left"/>
            </w:pPr>
            <w:r>
              <w:rPr>
                <w:color w:val="1E293B"/>
                <w:sz w:val="19"/>
              </w:rPr>
              <w:t>Direction &amp; steepness of multi-day load drift</w:t>
            </w:r>
          </w:p>
        </w:tc>
        <w:tc>
          <w:tcPr>
            <w:tcW w:type="dxa" w:w="2448"/>
            <w:shd w:fill="FFFFFF"/>
            <w:tcMar>
              <w:top w:w="80" w:type="dxa"/>
              <w:bottom w:w="80" w:type="dxa"/>
              <w:left w:w="120" w:type="dxa"/>
              <w:right w:w="120" w:type="dxa"/>
            </w:tcMar>
          </w:tcPr>
          <w:p>
            <w:pPr>
              <w:spacing w:after="0"/>
              <w:jc w:val="left"/>
            </w:pPr>
            <w:r>
              <w:rPr>
                <w:color w:val="1E293B"/>
                <w:sz w:val="19"/>
              </w:rPr>
              <w:t>Directs weights toward LSTM during smooth drift</w:t>
            </w:r>
          </w:p>
        </w:tc>
      </w:tr>
      <w:tr>
        <w:tc>
          <w:tcPr>
            <w:tcW w:type="dxa" w:w="1584"/>
            <w:shd w:fill="F8FAFC"/>
            <w:tcMar>
              <w:top w:w="80" w:type="dxa"/>
              <w:bottom w:w="80" w:type="dxa"/>
              <w:left w:w="120" w:type="dxa"/>
              <w:right w:w="120" w:type="dxa"/>
            </w:tcMar>
          </w:tcPr>
          <w:p>
            <w:pPr>
              <w:spacing w:after="0"/>
              <w:jc w:val="left"/>
            </w:pPr>
            <w:r>
              <w:rPr>
                <w:color w:val="1E293B"/>
                <w:sz w:val="19"/>
              </w:rPr>
              <w:t>Volatility (c_2)</w:t>
            </w:r>
          </w:p>
        </w:tc>
        <w:tc>
          <w:tcPr>
            <w:tcW w:type="dxa" w:w="2160"/>
            <w:shd w:fill="F8FAFC"/>
            <w:tcMar>
              <w:top w:w="80" w:type="dxa"/>
              <w:bottom w:w="80" w:type="dxa"/>
              <w:left w:w="120" w:type="dxa"/>
              <w:right w:w="120" w:type="dxa"/>
            </w:tcMar>
          </w:tcPr>
          <w:p>
            <w:pPr>
              <w:spacing w:after="0"/>
              <w:jc w:val="left"/>
            </w:pPr>
            <w:r>
              <w:rPr>
                <w:color w:val="1E293B"/>
                <w:sz w:val="19"/>
              </w:rPr>
              <w:t>sigma(Delta z) / sigma_train</w:t>
            </w:r>
          </w:p>
        </w:tc>
        <w:tc>
          <w:tcPr>
            <w:tcW w:type="dxa" w:w="3168"/>
            <w:shd w:fill="F8FAFC"/>
            <w:tcMar>
              <w:top w:w="80" w:type="dxa"/>
              <w:bottom w:w="80" w:type="dxa"/>
              <w:left w:w="120" w:type="dxa"/>
              <w:right w:w="120" w:type="dxa"/>
            </w:tcMar>
          </w:tcPr>
          <w:p>
            <w:pPr>
              <w:spacing w:after="0"/>
              <w:jc w:val="left"/>
            </w:pPr>
            <w:r>
              <w:rPr>
                <w:color w:val="1E293B"/>
                <w:sz w:val="19"/>
              </w:rPr>
              <w:t>Intensity of hourly ramps and short-term shocks</w:t>
            </w:r>
          </w:p>
        </w:tc>
        <w:tc>
          <w:tcPr>
            <w:tcW w:type="dxa" w:w="2448"/>
            <w:shd w:fill="F8FAFC"/>
            <w:tcMar>
              <w:top w:w="80" w:type="dxa"/>
              <w:bottom w:w="80" w:type="dxa"/>
              <w:left w:w="120" w:type="dxa"/>
              <w:right w:w="120" w:type="dxa"/>
            </w:tcMar>
          </w:tcPr>
          <w:p>
            <w:pPr>
              <w:spacing w:after="0"/>
              <w:jc w:val="left"/>
            </w:pPr>
            <w:r>
              <w:rPr>
                <w:color w:val="1E293B"/>
                <w:sz w:val="19"/>
              </w:rPr>
              <w:t>Directs weights toward CNN during sharp ramps</w:t>
            </w:r>
          </w:p>
        </w:tc>
      </w:tr>
      <w:tr>
        <w:tc>
          <w:tcPr>
            <w:tcW w:type="dxa" w:w="1584"/>
            <w:shd w:fill="FFFFFF"/>
            <w:tcMar>
              <w:top w:w="80" w:type="dxa"/>
              <w:bottom w:w="80" w:type="dxa"/>
              <w:left w:w="120" w:type="dxa"/>
              <w:right w:w="120" w:type="dxa"/>
            </w:tcMar>
          </w:tcPr>
          <w:p>
            <w:pPr>
              <w:spacing w:after="0"/>
              <w:jc w:val="left"/>
            </w:pPr>
            <w:r>
              <w:rPr>
                <w:color w:val="1E293B"/>
                <w:sz w:val="19"/>
              </w:rPr>
              <w:t>Periodicity (c_3)</w:t>
            </w:r>
          </w:p>
        </w:tc>
        <w:tc>
          <w:tcPr>
            <w:tcW w:type="dxa" w:w="2160"/>
            <w:shd w:fill="FFFFFF"/>
            <w:tcMar>
              <w:top w:w="80" w:type="dxa"/>
              <w:bottom w:w="80" w:type="dxa"/>
              <w:left w:w="120" w:type="dxa"/>
              <w:right w:w="120" w:type="dxa"/>
            </w:tcMar>
          </w:tcPr>
          <w:p>
            <w:pPr>
              <w:spacing w:after="0"/>
              <w:jc w:val="left"/>
            </w:pPr>
            <w:r>
              <w:rPr>
                <w:color w:val="1E293B"/>
                <w:sz w:val="19"/>
              </w:rPr>
              <w:t>r_24 = Corr(z_t, z_{t-24})</w:t>
            </w:r>
          </w:p>
        </w:tc>
        <w:tc>
          <w:tcPr>
            <w:tcW w:type="dxa" w:w="3168"/>
            <w:shd w:fill="FFFFFF"/>
            <w:tcMar>
              <w:top w:w="80" w:type="dxa"/>
              <w:bottom w:w="80" w:type="dxa"/>
              <w:left w:w="120" w:type="dxa"/>
              <w:right w:w="120" w:type="dxa"/>
            </w:tcMar>
          </w:tcPr>
          <w:p>
            <w:pPr>
              <w:spacing w:after="0"/>
              <w:jc w:val="left"/>
            </w:pPr>
            <w:r>
              <w:rPr>
                <w:color w:val="1E293B"/>
                <w:sz w:val="19"/>
              </w:rPr>
              <w:t>Diurnal cyclic consistency &amp; stability</w:t>
            </w:r>
          </w:p>
        </w:tc>
        <w:tc>
          <w:tcPr>
            <w:tcW w:type="dxa" w:w="2448"/>
            <w:shd w:fill="FFFFFF"/>
            <w:tcMar>
              <w:top w:w="80" w:type="dxa"/>
              <w:bottom w:w="80" w:type="dxa"/>
              <w:left w:w="120" w:type="dxa"/>
              <w:right w:w="120" w:type="dxa"/>
            </w:tcMar>
          </w:tcPr>
          <w:p>
            <w:pPr>
              <w:spacing w:after="0"/>
              <w:jc w:val="left"/>
            </w:pPr>
            <w:r>
              <w:rPr>
                <w:color w:val="1E293B"/>
                <w:sz w:val="19"/>
              </w:rPr>
              <w:t>Directs weights toward TCN during stable periodic cycles</w:t>
            </w:r>
          </w:p>
        </w:tc>
      </w:tr>
      <w:tr>
        <w:tc>
          <w:tcPr>
            <w:tcW w:type="dxa" w:w="1584"/>
            <w:shd w:fill="F8FAFC"/>
            <w:tcMar>
              <w:top w:w="80" w:type="dxa"/>
              <w:bottom w:w="80" w:type="dxa"/>
              <w:left w:w="120" w:type="dxa"/>
              <w:right w:w="120" w:type="dxa"/>
            </w:tcMar>
          </w:tcPr>
          <w:p>
            <w:pPr>
              <w:spacing w:after="0"/>
              <w:jc w:val="left"/>
            </w:pPr>
            <w:r>
              <w:rPr>
                <w:color w:val="1E293B"/>
                <w:sz w:val="19"/>
              </w:rPr>
              <w:t>Recent Error (c_4)</w:t>
            </w:r>
          </w:p>
        </w:tc>
        <w:tc>
          <w:tcPr>
            <w:tcW w:type="dxa" w:w="2160"/>
            <w:shd w:fill="F8FAFC"/>
            <w:tcMar>
              <w:top w:w="80" w:type="dxa"/>
              <w:bottom w:w="80" w:type="dxa"/>
              <w:left w:w="120" w:type="dxa"/>
              <w:right w:w="120" w:type="dxa"/>
            </w:tcMar>
          </w:tcPr>
          <w:p>
            <w:pPr>
              <w:spacing w:after="0"/>
              <w:jc w:val="left"/>
            </w:pPr>
            <w:r>
              <w:rPr>
                <w:color w:val="1E293B"/>
                <w:sz w:val="19"/>
              </w:rPr>
              <w:t>MAE of completed 24h forecast</w:t>
            </w:r>
          </w:p>
        </w:tc>
        <w:tc>
          <w:tcPr>
            <w:tcW w:type="dxa" w:w="3168"/>
            <w:shd w:fill="F8FAFC"/>
            <w:tcMar>
              <w:top w:w="80" w:type="dxa"/>
              <w:bottom w:w="80" w:type="dxa"/>
              <w:left w:w="120" w:type="dxa"/>
              <w:right w:w="120" w:type="dxa"/>
            </w:tcMar>
          </w:tcPr>
          <w:p>
            <w:pPr>
              <w:spacing w:after="0"/>
              <w:jc w:val="left"/>
            </w:pPr>
            <w:r>
              <w:rPr>
                <w:color w:val="1E293B"/>
                <w:sz w:val="19"/>
              </w:rPr>
              <w:t>Empirical drift and model accuracy indicator</w:t>
            </w:r>
          </w:p>
        </w:tc>
        <w:tc>
          <w:tcPr>
            <w:tcW w:type="dxa" w:w="2448"/>
            <w:shd w:fill="F8FAFC"/>
            <w:tcMar>
              <w:top w:w="80" w:type="dxa"/>
              <w:bottom w:w="80" w:type="dxa"/>
              <w:left w:w="120" w:type="dxa"/>
              <w:right w:w="120" w:type="dxa"/>
            </w:tcMar>
          </w:tcPr>
          <w:p>
            <w:pPr>
              <w:spacing w:after="0"/>
              <w:jc w:val="left"/>
            </w:pPr>
            <w:r>
              <w:rPr>
                <w:color w:val="1E293B"/>
                <w:sz w:val="19"/>
              </w:rPr>
              <w:t>Triggers re-weighting when baseload models degrade</w:t>
            </w:r>
          </w:p>
        </w:tc>
      </w:tr>
    </w:tbl>
    <w:p>
      <w:pPr>
        <w:spacing w:after="160"/>
      </w:pPr>
    </w:p>
    <w:p>
      <w:pPr>
        <w:keepNext/>
        <w:spacing w:before="280" w:after="80"/>
      </w:pPr>
      <w:r>
        <w:rPr>
          <w:b/>
          <w:color w:val="2C3E50"/>
          <w:sz w:val="26"/>
        </w:rPr>
        <w:t>3.4 Context Feature Encoder &amp; Softmax Gating Router</w:t>
      </w:r>
    </w:p>
    <w:p>
      <w:pPr>
        <w:spacing w:after="100" w:line="276" w:lineRule="auto"/>
      </w:pPr>
      <w:r>
        <w:t>The 4-dimensional context vector c_t is projected into a 16-dimensional latent representation by a non-linear Multi-Layer Perceptron (MLP) with ReLU activation, Layer Normalization, and dropout (p = 0.05): e_C = LayerNorm(ReLU(W_e c_t + b_e)) in R^{16}. A linear projection layer W_g in R^{3 x 16} produces three expert logits, which are transformed into a routing probability vector via the Softmax activation function:</w:t>
      </w:r>
    </w:p>
    <w:p>
      <w:pPr>
        <w:spacing w:before="120" w:after="120"/>
        <w:jc w:val="center"/>
      </w:pPr>
      <w:r>
        <w:rPr>
          <w:rFonts w:ascii="Cambria Math" w:hAnsi="Cambria Math"/>
          <w:b/>
          <w:sz w:val="21"/>
        </w:rPr>
        <w:t xml:space="preserve">    w_{k, t} = \frac{\exp(z_{g, k})}{\sum_{j \in \{L, T, C\}} \exp(z_{g, j})}, \quad \forall k \in \{L, T, C\}    </w:t>
      </w:r>
      <w:r>
        <w:rPr>
          <w:color w:val="64748B"/>
          <w:sz w:val="20"/>
        </w:rPr>
        <w:t>(5)</w:t>
      </w:r>
    </w:p>
    <w:p>
      <w:pPr>
        <w:spacing w:after="100" w:line="276" w:lineRule="auto"/>
      </w:pPr>
      <w:r>
        <w:t>Crucially, the entire context feature encoder and gating router consume only 1,027 parameters—representing just 0.84% of the total network parameter budget. This lightweight design prevents router overfitting and guarantees sub-millisecond routing decisions during inference.</w:t>
      </w:r>
    </w:p>
    <w:p>
      <w:pPr>
        <w:keepNext/>
        <w:spacing w:before="280" w:after="80"/>
      </w:pPr>
      <w:r>
        <w:rPr>
          <w:b/>
          <w:color w:val="2C3E50"/>
          <w:sz w:val="26"/>
        </w:rPr>
        <w:t>3.5 Parameter Budget Allocation</w:t>
      </w:r>
    </w:p>
    <w:p>
      <w:pPr>
        <w:spacing w:after="100" w:line="276" w:lineRule="auto"/>
      </w:pPr>
      <w:r>
        <w:t>Table 2 presents the exact component parameter allocation of Canonical CAEG-Net V1.</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872"/>
        <w:gridCol w:w="1872"/>
        <w:gridCol w:w="1872"/>
        <w:gridCol w:w="1872"/>
        <w:gridCol w:w="1872"/>
      </w:tblGrid>
      <w:tr>
        <w:tc>
          <w:tcPr>
            <w:tcW w:type="dxa" w:w="2016"/>
            <w:shd w:fill="1B365D"/>
            <w:tcMar>
              <w:top w:w="100" w:type="dxa"/>
              <w:bottom w:w="100" w:type="dxa"/>
              <w:left w:w="120" w:type="dxa"/>
              <w:right w:w="120" w:type="dxa"/>
            </w:tcMar>
          </w:tcPr>
          <w:p>
            <w:pPr>
              <w:spacing w:after="0"/>
              <w:jc w:val="center"/>
            </w:pPr>
            <w:r>
              <w:rPr>
                <w:b/>
                <w:color w:val="FFFFFF"/>
                <w:sz w:val="19"/>
              </w:rPr>
              <w:t>Submodule / Component</w:t>
            </w:r>
          </w:p>
        </w:tc>
        <w:tc>
          <w:tcPr>
            <w:tcW w:type="dxa" w:w="2880"/>
            <w:shd w:fill="1B365D"/>
            <w:tcMar>
              <w:top w:w="100" w:type="dxa"/>
              <w:bottom w:w="100" w:type="dxa"/>
              <w:left w:w="120" w:type="dxa"/>
              <w:right w:w="120" w:type="dxa"/>
            </w:tcMar>
          </w:tcPr>
          <w:p>
            <w:pPr>
              <w:spacing w:after="0"/>
              <w:jc w:val="center"/>
            </w:pPr>
            <w:r>
              <w:rPr>
                <w:b/>
                <w:color w:val="FFFFFF"/>
                <w:sz w:val="19"/>
              </w:rPr>
              <w:t>Layer Specification</w:t>
            </w:r>
          </w:p>
        </w:tc>
        <w:tc>
          <w:tcPr>
            <w:tcW w:type="dxa" w:w="1296"/>
            <w:shd w:fill="1B365D"/>
            <w:tcMar>
              <w:top w:w="100" w:type="dxa"/>
              <w:bottom w:w="100" w:type="dxa"/>
              <w:left w:w="120" w:type="dxa"/>
              <w:right w:w="120" w:type="dxa"/>
            </w:tcMar>
          </w:tcPr>
          <w:p>
            <w:pPr>
              <w:spacing w:after="0"/>
              <w:jc w:val="center"/>
            </w:pPr>
            <w:r>
              <w:rPr>
                <w:b/>
                <w:color w:val="FFFFFF"/>
                <w:sz w:val="19"/>
              </w:rPr>
              <w:t>Parameter Count</w:t>
            </w:r>
          </w:p>
        </w:tc>
        <w:tc>
          <w:tcPr>
            <w:tcW w:type="dxa" w:w="1584"/>
            <w:shd w:fill="1B365D"/>
            <w:tcMar>
              <w:top w:w="100" w:type="dxa"/>
              <w:bottom w:w="100" w:type="dxa"/>
              <w:left w:w="120" w:type="dxa"/>
              <w:right w:w="120" w:type="dxa"/>
            </w:tcMar>
          </w:tcPr>
          <w:p>
            <w:pPr>
              <w:spacing w:after="0"/>
              <w:jc w:val="center"/>
            </w:pPr>
            <w:r>
              <w:rPr>
                <w:b/>
                <w:color w:val="FFFFFF"/>
                <w:sz w:val="19"/>
              </w:rPr>
              <w:t>Percentage of Total</w:t>
            </w:r>
          </w:p>
        </w:tc>
        <w:tc>
          <w:tcPr>
            <w:tcW w:type="dxa" w:w="1584"/>
            <w:shd w:fill="1B365D"/>
            <w:tcMar>
              <w:top w:w="100" w:type="dxa"/>
              <w:bottom w:w="100" w:type="dxa"/>
              <w:left w:w="120" w:type="dxa"/>
              <w:right w:w="120" w:type="dxa"/>
            </w:tcMar>
          </w:tcPr>
          <w:p>
            <w:pPr>
              <w:spacing w:after="0"/>
              <w:jc w:val="center"/>
            </w:pPr>
            <w:r>
              <w:rPr>
                <w:b/>
                <w:color w:val="FFFFFF"/>
                <w:sz w:val="19"/>
              </w:rPr>
              <w:t>Trainable Status</w:t>
            </w:r>
          </w:p>
        </w:tc>
      </w:tr>
      <w:tr>
        <w:tc>
          <w:tcPr>
            <w:tcW w:type="dxa" w:w="2016"/>
            <w:shd w:fill="FFFFFF"/>
            <w:tcMar>
              <w:top w:w="80" w:type="dxa"/>
              <w:bottom w:w="80" w:type="dxa"/>
              <w:left w:w="120" w:type="dxa"/>
              <w:right w:w="120" w:type="dxa"/>
            </w:tcMar>
          </w:tcPr>
          <w:p>
            <w:pPr>
              <w:spacing w:after="0"/>
              <w:jc w:val="left"/>
            </w:pPr>
            <w:r>
              <w:rPr>
                <w:color w:val="1E293B"/>
                <w:sz w:val="19"/>
              </w:rPr>
              <w:t>LSTM Expert</w:t>
            </w:r>
          </w:p>
        </w:tc>
        <w:tc>
          <w:tcPr>
            <w:tcW w:type="dxa" w:w="2880"/>
            <w:shd w:fill="FFFFFF"/>
            <w:tcMar>
              <w:top w:w="80" w:type="dxa"/>
              <w:bottom w:w="80" w:type="dxa"/>
              <w:left w:w="120" w:type="dxa"/>
              <w:right w:w="120" w:type="dxa"/>
            </w:tcMar>
          </w:tcPr>
          <w:p>
            <w:pPr>
              <w:spacing w:after="0"/>
              <w:jc w:val="left"/>
            </w:pPr>
            <w:r>
              <w:rPr>
                <w:color w:val="1E293B"/>
                <w:sz w:val="19"/>
              </w:rPr>
              <w:t>2x LSTM(1, 64) + Linear(64, 24)</w:t>
            </w:r>
          </w:p>
        </w:tc>
        <w:tc>
          <w:tcPr>
            <w:tcW w:type="dxa" w:w="1296"/>
            <w:shd w:fill="FFFFFF"/>
            <w:tcMar>
              <w:top w:w="80" w:type="dxa"/>
              <w:bottom w:w="80" w:type="dxa"/>
              <w:left w:w="120" w:type="dxa"/>
              <w:right w:w="120" w:type="dxa"/>
            </w:tcMar>
          </w:tcPr>
          <w:p>
            <w:pPr>
              <w:spacing w:after="0"/>
              <w:jc w:val="right"/>
            </w:pPr>
            <w:r>
              <w:rPr>
                <w:color w:val="1E293B"/>
                <w:sz w:val="19"/>
              </w:rPr>
              <w:t>56,152</w:t>
            </w:r>
          </w:p>
        </w:tc>
        <w:tc>
          <w:tcPr>
            <w:tcW w:type="dxa" w:w="1584"/>
            <w:shd w:fill="FFFFFF"/>
            <w:tcMar>
              <w:top w:w="80" w:type="dxa"/>
              <w:bottom w:w="80" w:type="dxa"/>
              <w:left w:w="120" w:type="dxa"/>
              <w:right w:w="120" w:type="dxa"/>
            </w:tcMar>
          </w:tcPr>
          <w:p>
            <w:pPr>
              <w:spacing w:after="0"/>
              <w:jc w:val="right"/>
            </w:pPr>
            <w:r>
              <w:rPr>
                <w:color w:val="1E293B"/>
                <w:sz w:val="19"/>
              </w:rPr>
              <w:t>46.20%</w:t>
            </w:r>
          </w:p>
        </w:tc>
        <w:tc>
          <w:tcPr>
            <w:tcW w:type="dxa" w:w="1584"/>
            <w:shd w:fill="FFFFFF"/>
            <w:tcMar>
              <w:top w:w="80" w:type="dxa"/>
              <w:bottom w:w="80" w:type="dxa"/>
              <w:left w:w="120" w:type="dxa"/>
              <w:right w:w="120" w:type="dxa"/>
            </w:tcMar>
          </w:tcPr>
          <w:p>
            <w:pPr>
              <w:spacing w:after="0"/>
              <w:jc w:val="left"/>
            </w:pPr>
            <w:r>
              <w:rPr>
                <w:color w:val="1E293B"/>
                <w:sz w:val="19"/>
              </w:rPr>
              <w:t>Active Trainable</w:t>
            </w:r>
          </w:p>
        </w:tc>
      </w:tr>
      <w:tr>
        <w:tc>
          <w:tcPr>
            <w:tcW w:type="dxa" w:w="2016"/>
            <w:shd w:fill="F8FAFC"/>
            <w:tcMar>
              <w:top w:w="80" w:type="dxa"/>
              <w:bottom w:w="80" w:type="dxa"/>
              <w:left w:w="120" w:type="dxa"/>
              <w:right w:w="120" w:type="dxa"/>
            </w:tcMar>
          </w:tcPr>
          <w:p>
            <w:pPr>
              <w:spacing w:after="0"/>
              <w:jc w:val="left"/>
            </w:pPr>
            <w:r>
              <w:rPr>
                <w:color w:val="1E293B"/>
                <w:sz w:val="19"/>
              </w:rPr>
              <w:t>TCN Expert</w:t>
            </w:r>
          </w:p>
        </w:tc>
        <w:tc>
          <w:tcPr>
            <w:tcW w:type="dxa" w:w="2880"/>
            <w:shd w:fill="F8FAFC"/>
            <w:tcMar>
              <w:top w:w="80" w:type="dxa"/>
              <w:bottom w:w="80" w:type="dxa"/>
              <w:left w:w="120" w:type="dxa"/>
              <w:right w:w="120" w:type="dxa"/>
            </w:tcMar>
          </w:tcPr>
          <w:p>
            <w:pPr>
              <w:spacing w:after="0"/>
              <w:jc w:val="left"/>
            </w:pPr>
            <w:r>
              <w:rPr>
                <w:color w:val="1E293B"/>
                <w:sz w:val="19"/>
              </w:rPr>
              <w:t>4x ResBlock(32, k=3, d={1,2,4,8}) + Head</w:t>
            </w:r>
          </w:p>
        </w:tc>
        <w:tc>
          <w:tcPr>
            <w:tcW w:type="dxa" w:w="1296"/>
            <w:shd w:fill="F8FAFC"/>
            <w:tcMar>
              <w:top w:w="80" w:type="dxa"/>
              <w:bottom w:w="80" w:type="dxa"/>
              <w:left w:w="120" w:type="dxa"/>
              <w:right w:w="120" w:type="dxa"/>
            </w:tcMar>
          </w:tcPr>
          <w:p>
            <w:pPr>
              <w:spacing w:after="0"/>
              <w:jc w:val="right"/>
            </w:pPr>
            <w:r>
              <w:rPr>
                <w:color w:val="1E293B"/>
                <w:sz w:val="19"/>
              </w:rPr>
              <w:t>36,952</w:t>
            </w:r>
          </w:p>
        </w:tc>
        <w:tc>
          <w:tcPr>
            <w:tcW w:type="dxa" w:w="1584"/>
            <w:shd w:fill="F8FAFC"/>
            <w:tcMar>
              <w:top w:w="80" w:type="dxa"/>
              <w:bottom w:w="80" w:type="dxa"/>
              <w:left w:w="120" w:type="dxa"/>
              <w:right w:w="120" w:type="dxa"/>
            </w:tcMar>
          </w:tcPr>
          <w:p>
            <w:pPr>
              <w:spacing w:after="0"/>
              <w:jc w:val="right"/>
            </w:pPr>
            <w:r>
              <w:rPr>
                <w:color w:val="1E293B"/>
                <w:sz w:val="19"/>
              </w:rPr>
              <w:t>30.41%</w:t>
            </w:r>
          </w:p>
        </w:tc>
        <w:tc>
          <w:tcPr>
            <w:tcW w:type="dxa" w:w="1584"/>
            <w:shd w:fill="F8FAFC"/>
            <w:tcMar>
              <w:top w:w="80" w:type="dxa"/>
              <w:bottom w:w="80" w:type="dxa"/>
              <w:left w:w="120" w:type="dxa"/>
              <w:right w:w="120" w:type="dxa"/>
            </w:tcMar>
          </w:tcPr>
          <w:p>
            <w:pPr>
              <w:spacing w:after="0"/>
              <w:jc w:val="left"/>
            </w:pPr>
            <w:r>
              <w:rPr>
                <w:color w:val="1E293B"/>
                <w:sz w:val="19"/>
              </w:rPr>
              <w:t>Active Trainable</w:t>
            </w:r>
          </w:p>
        </w:tc>
      </w:tr>
      <w:tr>
        <w:tc>
          <w:tcPr>
            <w:tcW w:type="dxa" w:w="2016"/>
            <w:shd w:fill="FFFFFF"/>
            <w:tcMar>
              <w:top w:w="80" w:type="dxa"/>
              <w:bottom w:w="80" w:type="dxa"/>
              <w:left w:w="120" w:type="dxa"/>
              <w:right w:w="120" w:type="dxa"/>
            </w:tcMar>
          </w:tcPr>
          <w:p>
            <w:pPr>
              <w:spacing w:after="0"/>
              <w:jc w:val="left"/>
            </w:pPr>
            <w:r>
              <w:rPr>
                <w:color w:val="1E293B"/>
                <w:sz w:val="19"/>
              </w:rPr>
              <w:t>CNN Expert</w:t>
            </w:r>
          </w:p>
        </w:tc>
        <w:tc>
          <w:tcPr>
            <w:tcW w:type="dxa" w:w="2880"/>
            <w:shd w:fill="FFFFFF"/>
            <w:tcMar>
              <w:top w:w="80" w:type="dxa"/>
              <w:bottom w:w="80" w:type="dxa"/>
              <w:left w:w="120" w:type="dxa"/>
              <w:right w:w="120" w:type="dxa"/>
            </w:tcMar>
          </w:tcPr>
          <w:p>
            <w:pPr>
              <w:spacing w:after="0"/>
              <w:jc w:val="left"/>
            </w:pPr>
            <w:r>
              <w:rPr>
                <w:color w:val="1E293B"/>
                <w:sz w:val="19"/>
              </w:rPr>
              <w:t>3x Conv1D(16-&gt;32-&gt;64) + Linear(512, 24)</w:t>
            </w:r>
          </w:p>
        </w:tc>
        <w:tc>
          <w:tcPr>
            <w:tcW w:type="dxa" w:w="1296"/>
            <w:shd w:fill="FFFFFF"/>
            <w:tcMar>
              <w:top w:w="80" w:type="dxa"/>
              <w:bottom w:w="80" w:type="dxa"/>
              <w:left w:w="120" w:type="dxa"/>
              <w:right w:w="120" w:type="dxa"/>
            </w:tcMar>
          </w:tcPr>
          <w:p>
            <w:pPr>
              <w:spacing w:after="0"/>
              <w:jc w:val="right"/>
            </w:pPr>
            <w:r>
              <w:rPr>
                <w:color w:val="1E293B"/>
                <w:sz w:val="19"/>
              </w:rPr>
              <w:t>27,400</w:t>
            </w:r>
          </w:p>
        </w:tc>
        <w:tc>
          <w:tcPr>
            <w:tcW w:type="dxa" w:w="1584"/>
            <w:shd w:fill="FFFFFF"/>
            <w:tcMar>
              <w:top w:w="80" w:type="dxa"/>
              <w:bottom w:w="80" w:type="dxa"/>
              <w:left w:w="120" w:type="dxa"/>
              <w:right w:w="120" w:type="dxa"/>
            </w:tcMar>
          </w:tcPr>
          <w:p>
            <w:pPr>
              <w:spacing w:after="0"/>
              <w:jc w:val="right"/>
            </w:pPr>
            <w:r>
              <w:rPr>
                <w:color w:val="1E293B"/>
                <w:sz w:val="19"/>
              </w:rPr>
              <w:t>22.55%</w:t>
            </w:r>
          </w:p>
        </w:tc>
        <w:tc>
          <w:tcPr>
            <w:tcW w:type="dxa" w:w="1584"/>
            <w:shd w:fill="FFFFFF"/>
            <w:tcMar>
              <w:top w:w="80" w:type="dxa"/>
              <w:bottom w:w="80" w:type="dxa"/>
              <w:left w:w="120" w:type="dxa"/>
              <w:right w:w="120" w:type="dxa"/>
            </w:tcMar>
          </w:tcPr>
          <w:p>
            <w:pPr>
              <w:spacing w:after="0"/>
              <w:jc w:val="left"/>
            </w:pPr>
            <w:r>
              <w:rPr>
                <w:color w:val="1E293B"/>
                <w:sz w:val="19"/>
              </w:rPr>
              <w:t>Active Trainable</w:t>
            </w:r>
          </w:p>
        </w:tc>
      </w:tr>
      <w:tr>
        <w:tc>
          <w:tcPr>
            <w:tcW w:type="dxa" w:w="2016"/>
            <w:shd w:fill="F8FAFC"/>
            <w:tcMar>
              <w:top w:w="80" w:type="dxa"/>
              <w:bottom w:w="80" w:type="dxa"/>
              <w:left w:w="120" w:type="dxa"/>
              <w:right w:w="120" w:type="dxa"/>
            </w:tcMar>
          </w:tcPr>
          <w:p>
            <w:pPr>
              <w:spacing w:after="0"/>
              <w:jc w:val="left"/>
            </w:pPr>
            <w:r>
              <w:rPr>
                <w:color w:val="1E293B"/>
                <w:sz w:val="19"/>
              </w:rPr>
              <w:t>Context Feature Encoder</w:t>
            </w:r>
          </w:p>
        </w:tc>
        <w:tc>
          <w:tcPr>
            <w:tcW w:type="dxa" w:w="2880"/>
            <w:shd w:fill="F8FAFC"/>
            <w:tcMar>
              <w:top w:w="80" w:type="dxa"/>
              <w:bottom w:w="80" w:type="dxa"/>
              <w:left w:w="120" w:type="dxa"/>
              <w:right w:w="120" w:type="dxa"/>
            </w:tcMar>
          </w:tcPr>
          <w:p>
            <w:pPr>
              <w:spacing w:after="0"/>
              <w:jc w:val="left"/>
            </w:pPr>
            <w:r>
              <w:rPr>
                <w:color w:val="1E293B"/>
                <w:sz w:val="19"/>
              </w:rPr>
              <w:t>Linear(4, 16) + LayerNorm(16) + ReLU</w:t>
            </w:r>
          </w:p>
        </w:tc>
        <w:tc>
          <w:tcPr>
            <w:tcW w:type="dxa" w:w="1296"/>
            <w:shd w:fill="F8FAFC"/>
            <w:tcMar>
              <w:top w:w="80" w:type="dxa"/>
              <w:bottom w:w="80" w:type="dxa"/>
              <w:left w:w="120" w:type="dxa"/>
              <w:right w:w="120" w:type="dxa"/>
            </w:tcMar>
          </w:tcPr>
          <w:p>
            <w:pPr>
              <w:spacing w:after="0"/>
              <w:jc w:val="right"/>
            </w:pPr>
            <w:r>
              <w:rPr>
                <w:color w:val="1E293B"/>
                <w:sz w:val="19"/>
              </w:rPr>
              <w:t>80</w:t>
            </w:r>
          </w:p>
        </w:tc>
        <w:tc>
          <w:tcPr>
            <w:tcW w:type="dxa" w:w="1584"/>
            <w:shd w:fill="F8FAFC"/>
            <w:tcMar>
              <w:top w:w="80" w:type="dxa"/>
              <w:bottom w:w="80" w:type="dxa"/>
              <w:left w:w="120" w:type="dxa"/>
              <w:right w:w="120" w:type="dxa"/>
            </w:tcMar>
          </w:tcPr>
          <w:p>
            <w:pPr>
              <w:spacing w:after="0"/>
              <w:jc w:val="right"/>
            </w:pPr>
            <w:r>
              <w:rPr>
                <w:color w:val="1E293B"/>
                <w:sz w:val="19"/>
              </w:rPr>
              <w:t>0.07%</w:t>
            </w:r>
          </w:p>
        </w:tc>
        <w:tc>
          <w:tcPr>
            <w:tcW w:type="dxa" w:w="1584"/>
            <w:shd w:fill="F8FAFC"/>
            <w:tcMar>
              <w:top w:w="80" w:type="dxa"/>
              <w:bottom w:w="80" w:type="dxa"/>
              <w:left w:w="120" w:type="dxa"/>
              <w:right w:w="120" w:type="dxa"/>
            </w:tcMar>
          </w:tcPr>
          <w:p>
            <w:pPr>
              <w:spacing w:after="0"/>
              <w:jc w:val="left"/>
            </w:pPr>
            <w:r>
              <w:rPr>
                <w:color w:val="1E293B"/>
                <w:sz w:val="19"/>
              </w:rPr>
              <w:t>Active Trainable</w:t>
            </w:r>
          </w:p>
        </w:tc>
      </w:tr>
      <w:tr>
        <w:tc>
          <w:tcPr>
            <w:tcW w:type="dxa" w:w="2016"/>
            <w:shd w:fill="FFFFFF"/>
            <w:tcMar>
              <w:top w:w="80" w:type="dxa"/>
              <w:bottom w:w="80" w:type="dxa"/>
              <w:left w:w="120" w:type="dxa"/>
              <w:right w:w="120" w:type="dxa"/>
            </w:tcMar>
          </w:tcPr>
          <w:p>
            <w:pPr>
              <w:spacing w:after="0"/>
              <w:jc w:val="left"/>
            </w:pPr>
            <w:r>
              <w:rPr>
                <w:color w:val="1E293B"/>
                <w:sz w:val="19"/>
              </w:rPr>
              <w:t>Softmax Gating Router</w:t>
            </w:r>
          </w:p>
        </w:tc>
        <w:tc>
          <w:tcPr>
            <w:tcW w:type="dxa" w:w="2880"/>
            <w:shd w:fill="FFFFFF"/>
            <w:tcMar>
              <w:top w:w="80" w:type="dxa"/>
              <w:bottom w:w="80" w:type="dxa"/>
              <w:left w:w="120" w:type="dxa"/>
              <w:right w:w="120" w:type="dxa"/>
            </w:tcMar>
          </w:tcPr>
          <w:p>
            <w:pPr>
              <w:spacing w:after="0"/>
              <w:jc w:val="left"/>
            </w:pPr>
            <w:r>
              <w:rPr>
                <w:color w:val="1E293B"/>
                <w:sz w:val="19"/>
              </w:rPr>
              <w:t>Linear(16, 3) + Softmax</w:t>
            </w:r>
          </w:p>
        </w:tc>
        <w:tc>
          <w:tcPr>
            <w:tcW w:type="dxa" w:w="1296"/>
            <w:shd w:fill="FFFFFF"/>
            <w:tcMar>
              <w:top w:w="80" w:type="dxa"/>
              <w:bottom w:w="80" w:type="dxa"/>
              <w:left w:w="120" w:type="dxa"/>
              <w:right w:w="120" w:type="dxa"/>
            </w:tcMar>
          </w:tcPr>
          <w:p>
            <w:pPr>
              <w:spacing w:after="0"/>
              <w:jc w:val="right"/>
            </w:pPr>
            <w:r>
              <w:rPr>
                <w:color w:val="1E293B"/>
                <w:sz w:val="19"/>
              </w:rPr>
              <w:t>51</w:t>
            </w:r>
          </w:p>
        </w:tc>
        <w:tc>
          <w:tcPr>
            <w:tcW w:type="dxa" w:w="1584"/>
            <w:shd w:fill="FFFFFF"/>
            <w:tcMar>
              <w:top w:w="80" w:type="dxa"/>
              <w:bottom w:w="80" w:type="dxa"/>
              <w:left w:w="120" w:type="dxa"/>
              <w:right w:w="120" w:type="dxa"/>
            </w:tcMar>
          </w:tcPr>
          <w:p>
            <w:pPr>
              <w:spacing w:after="0"/>
              <w:jc w:val="right"/>
            </w:pPr>
            <w:r>
              <w:rPr>
                <w:color w:val="1E293B"/>
                <w:sz w:val="19"/>
              </w:rPr>
              <w:t>0.04%</w:t>
            </w:r>
          </w:p>
        </w:tc>
        <w:tc>
          <w:tcPr>
            <w:tcW w:type="dxa" w:w="1584"/>
            <w:shd w:fill="FFFFFF"/>
            <w:tcMar>
              <w:top w:w="80" w:type="dxa"/>
              <w:bottom w:w="80" w:type="dxa"/>
              <w:left w:w="120" w:type="dxa"/>
              <w:right w:w="120" w:type="dxa"/>
            </w:tcMar>
          </w:tcPr>
          <w:p>
            <w:pPr>
              <w:spacing w:after="0"/>
              <w:jc w:val="left"/>
            </w:pPr>
            <w:r>
              <w:rPr>
                <w:color w:val="1E293B"/>
                <w:sz w:val="19"/>
              </w:rPr>
              <w:t>Active Trainable</w:t>
            </w:r>
          </w:p>
        </w:tc>
      </w:tr>
      <w:tr>
        <w:tc>
          <w:tcPr>
            <w:tcW w:type="dxa" w:w="2016"/>
            <w:shd w:fill="F8FAFC"/>
            <w:tcMar>
              <w:top w:w="80" w:type="dxa"/>
              <w:bottom w:w="80" w:type="dxa"/>
              <w:left w:w="120" w:type="dxa"/>
              <w:right w:w="120" w:type="dxa"/>
            </w:tcMar>
          </w:tcPr>
          <w:p>
            <w:pPr>
              <w:spacing w:after="0"/>
              <w:jc w:val="left"/>
            </w:pPr>
            <w:r>
              <w:rPr>
                <w:color w:val="1E293B"/>
                <w:sz w:val="19"/>
              </w:rPr>
              <w:t>Context Pipeline Subtotal</w:t>
            </w:r>
          </w:p>
        </w:tc>
        <w:tc>
          <w:tcPr>
            <w:tcW w:type="dxa" w:w="2880"/>
            <w:shd w:fill="F8FAFC"/>
            <w:tcMar>
              <w:top w:w="80" w:type="dxa"/>
              <w:bottom w:w="80" w:type="dxa"/>
              <w:left w:w="120" w:type="dxa"/>
              <w:right w:w="120" w:type="dxa"/>
            </w:tcMar>
          </w:tcPr>
          <w:p>
            <w:pPr>
              <w:spacing w:after="0"/>
              <w:jc w:val="left"/>
            </w:pPr>
            <w:r>
              <w:rPr>
                <w:color w:val="1E293B"/>
                <w:sz w:val="19"/>
              </w:rPr>
              <w:t>Encoder (80) + Router (51) + LayerNorm (896)</w:t>
            </w:r>
          </w:p>
        </w:tc>
        <w:tc>
          <w:tcPr>
            <w:tcW w:type="dxa" w:w="1296"/>
            <w:shd w:fill="F8FAFC"/>
            <w:tcMar>
              <w:top w:w="80" w:type="dxa"/>
              <w:bottom w:w="80" w:type="dxa"/>
              <w:left w:w="120" w:type="dxa"/>
              <w:right w:w="120" w:type="dxa"/>
            </w:tcMar>
          </w:tcPr>
          <w:p>
            <w:pPr>
              <w:spacing w:after="0"/>
              <w:jc w:val="right"/>
            </w:pPr>
            <w:r>
              <w:rPr>
                <w:color w:val="1E293B"/>
                <w:sz w:val="19"/>
              </w:rPr>
              <w:t>1,027</w:t>
            </w:r>
          </w:p>
        </w:tc>
        <w:tc>
          <w:tcPr>
            <w:tcW w:type="dxa" w:w="1584"/>
            <w:shd w:fill="F8FAFC"/>
            <w:tcMar>
              <w:top w:w="80" w:type="dxa"/>
              <w:bottom w:w="80" w:type="dxa"/>
              <w:left w:w="120" w:type="dxa"/>
              <w:right w:w="120" w:type="dxa"/>
            </w:tcMar>
          </w:tcPr>
          <w:p>
            <w:pPr>
              <w:spacing w:after="0"/>
              <w:jc w:val="right"/>
            </w:pPr>
            <w:r>
              <w:rPr>
                <w:color w:val="1E293B"/>
                <w:sz w:val="19"/>
              </w:rPr>
              <w:t>0.84%</w:t>
            </w:r>
          </w:p>
        </w:tc>
        <w:tc>
          <w:tcPr>
            <w:tcW w:type="dxa" w:w="1584"/>
            <w:shd w:fill="F8FAFC"/>
            <w:tcMar>
              <w:top w:w="80" w:type="dxa"/>
              <w:bottom w:w="80" w:type="dxa"/>
              <w:left w:w="120" w:type="dxa"/>
              <w:right w:w="120" w:type="dxa"/>
            </w:tcMar>
          </w:tcPr>
          <w:p>
            <w:pPr>
              <w:spacing w:after="0"/>
              <w:jc w:val="left"/>
            </w:pPr>
            <w:r>
              <w:rPr>
                <w:color w:val="1E293B"/>
                <w:sz w:val="19"/>
              </w:rPr>
              <w:t>Active Trainable</w:t>
            </w:r>
          </w:p>
        </w:tc>
      </w:tr>
      <w:tr>
        <w:tc>
          <w:tcPr>
            <w:tcW w:type="dxa" w:w="2016"/>
            <w:shd w:fill="FFFFFF"/>
            <w:tcMar>
              <w:top w:w="80" w:type="dxa"/>
              <w:bottom w:w="80" w:type="dxa"/>
              <w:left w:w="120" w:type="dxa"/>
              <w:right w:w="120" w:type="dxa"/>
            </w:tcMar>
          </w:tcPr>
          <w:p>
            <w:pPr>
              <w:spacing w:after="0"/>
              <w:jc w:val="left"/>
            </w:pPr>
            <w:r>
              <w:rPr>
                <w:color w:val="1E293B"/>
                <w:sz w:val="19"/>
              </w:rPr>
              <w:t>Total CAEG-Net V1</w:t>
            </w:r>
          </w:p>
        </w:tc>
        <w:tc>
          <w:tcPr>
            <w:tcW w:type="dxa" w:w="2880"/>
            <w:shd w:fill="FFFFFF"/>
            <w:tcMar>
              <w:top w:w="80" w:type="dxa"/>
              <w:bottom w:w="80" w:type="dxa"/>
              <w:left w:w="120" w:type="dxa"/>
              <w:right w:w="120" w:type="dxa"/>
            </w:tcMar>
          </w:tcPr>
          <w:p>
            <w:pPr>
              <w:spacing w:after="0"/>
              <w:jc w:val="left"/>
            </w:pPr>
            <w:r>
              <w:rPr>
                <w:color w:val="1E293B"/>
                <w:sz w:val="19"/>
              </w:rPr>
              <w:t>3 Experts + Context Router Pipeline</w:t>
            </w:r>
          </w:p>
        </w:tc>
        <w:tc>
          <w:tcPr>
            <w:tcW w:type="dxa" w:w="1296"/>
            <w:shd w:fill="FFFFFF"/>
            <w:tcMar>
              <w:top w:w="80" w:type="dxa"/>
              <w:bottom w:w="80" w:type="dxa"/>
              <w:left w:w="120" w:type="dxa"/>
              <w:right w:w="120" w:type="dxa"/>
            </w:tcMar>
          </w:tcPr>
          <w:p>
            <w:pPr>
              <w:spacing w:after="0"/>
              <w:jc w:val="right"/>
            </w:pPr>
            <w:r>
              <w:rPr>
                <w:color w:val="1E293B"/>
                <w:sz w:val="19"/>
              </w:rPr>
              <w:t>121,531</w:t>
            </w:r>
          </w:p>
        </w:tc>
        <w:tc>
          <w:tcPr>
            <w:tcW w:type="dxa" w:w="1584"/>
            <w:shd w:fill="FFFFFF"/>
            <w:tcMar>
              <w:top w:w="80" w:type="dxa"/>
              <w:bottom w:w="80" w:type="dxa"/>
              <w:left w:w="120" w:type="dxa"/>
              <w:right w:w="120" w:type="dxa"/>
            </w:tcMar>
          </w:tcPr>
          <w:p>
            <w:pPr>
              <w:spacing w:after="0"/>
              <w:jc w:val="right"/>
            </w:pPr>
            <w:r>
              <w:rPr>
                <w:color w:val="1E293B"/>
                <w:sz w:val="19"/>
              </w:rPr>
              <w:t>100.00%</w:t>
            </w:r>
          </w:p>
        </w:tc>
        <w:tc>
          <w:tcPr>
            <w:tcW w:type="dxa" w:w="1584"/>
            <w:shd w:fill="FFFFFF"/>
            <w:tcMar>
              <w:top w:w="80" w:type="dxa"/>
              <w:bottom w:w="80" w:type="dxa"/>
              <w:left w:w="120" w:type="dxa"/>
              <w:right w:w="120" w:type="dxa"/>
            </w:tcMar>
          </w:tcPr>
          <w:p>
            <w:pPr>
              <w:spacing w:after="0"/>
              <w:jc w:val="left"/>
            </w:pPr>
            <w:r>
              <w:rPr>
                <w:color w:val="1E293B"/>
                <w:sz w:val="19"/>
              </w:rPr>
              <w:t>Authoritative Frozen Champion</w:t>
            </w:r>
          </w:p>
        </w:tc>
      </w:tr>
    </w:tbl>
    <w:p>
      <w:pPr>
        <w:spacing w:after="160"/>
      </w:pPr>
    </w:p>
    <w:p>
      <w:pPr>
        <w:keepNext/>
        <w:spacing w:before="160" w:after="80"/>
        <w:jc w:val="center"/>
      </w:pPr>
      <w:r>
        <w:drawing>
          <wp:inline xmlns:a="http://schemas.openxmlformats.org/drawingml/2006/main" xmlns:pic="http://schemas.openxmlformats.org/drawingml/2006/picture">
            <wp:extent cx="4572000" cy="1392939"/>
            <wp:docPr id="2" name="Picture 2"/>
            <wp:cNvGraphicFramePr>
              <a:graphicFrameLocks noChangeAspect="1"/>
            </wp:cNvGraphicFramePr>
            <a:graphic>
              <a:graphicData uri="http://schemas.openxmlformats.org/drawingml/2006/picture">
                <pic:pic>
                  <pic:nvPicPr>
                    <pic:cNvPr id="0" name="fig_model_parameter_breakdown.png"/>
                    <pic:cNvPicPr/>
                  </pic:nvPicPr>
                  <pic:blipFill>
                    <a:blip r:embed="rId10"/>
                    <a:stretch>
                      <a:fillRect/>
                    </a:stretch>
                  </pic:blipFill>
                  <pic:spPr>
                    <a:xfrm>
                      <a:off x="0" y="0"/>
                      <a:ext cx="4572000" cy="1392939"/>
                    </a:xfrm>
                    <a:prstGeom prst="rect"/>
                  </pic:spPr>
                </pic:pic>
              </a:graphicData>
            </a:graphic>
          </wp:inline>
        </w:drawing>
      </w:r>
    </w:p>
    <w:p>
      <w:pPr>
        <w:spacing w:before="40" w:after="240"/>
        <w:jc w:val="center"/>
      </w:pPr>
      <w:r>
        <w:rPr>
          <w:i/>
          <w:color w:val="64748B"/>
          <w:sz w:val="19"/>
        </w:rPr>
        <w:t>Fig. 2: Model Parameter Allocation across Experts (120,504) and Routing Pipeline (1,027).</w:t>
      </w:r>
    </w:p>
    <w:p>
      <w:pPr>
        <w:keepNext/>
        <w:spacing w:before="360" w:after="120"/>
      </w:pPr>
      <w:r>
        <w:rPr>
          <w:b/>
          <w:color w:val="1B365D"/>
          <w:sz w:val="32"/>
        </w:rPr>
        <w:t>4. Implementation</w:t>
      </w:r>
    </w:p>
    <w:p>
      <w:pPr>
        <w:keepNext/>
        <w:spacing w:before="280" w:after="80"/>
      </w:pPr>
      <w:r>
        <w:rPr>
          <w:b/>
          <w:color w:val="2C3E50"/>
          <w:sz w:val="26"/>
        </w:rPr>
        <w:t>4.1 Datasets and Ingestion Pipeline</w:t>
      </w:r>
    </w:p>
    <w:p>
      <w:pPr>
        <w:spacing w:after="100" w:line="276" w:lineRule="auto"/>
      </w:pPr>
      <w:r>
        <w:t>The empirical evaluation is conducted across three structurally diverse electricity grid datasets to guarantee generalizability:</w:t>
      </w:r>
    </w:p>
    <w:p>
      <w:pPr>
        <w:spacing w:after="100" w:line="276" w:lineRule="auto"/>
      </w:pPr>
      <w:r>
        <w:rPr>
          <w:b/>
          <w:color w:val="2C3E50"/>
        </w:rPr>
        <w:t xml:space="preserve">1. Modern PJM Interconnection: </w:t>
      </w:r>
      <w:r>
        <w:t>Primary benchmark dataset comprising continuous hourly electricity consumption measurements (MW) for the regional transmission organization serving 65 million people across 13 eastern U.S. states. Spans 2018-01-01 to 2024-03-31 (total: 54,768 hourly observations). Exhibits strong dual-peak diurnal cycles (morning 08:00 and evening 18:00) and severe winter/summer weather-driven ramp events.</w:t>
      </w:r>
    </w:p>
    <w:p>
      <w:pPr>
        <w:spacing w:after="100" w:line="276" w:lineRule="auto"/>
      </w:pPr>
      <w:r>
        <w:rPr>
          <w:b/>
          <w:color w:val="2C3E50"/>
        </w:rPr>
        <w:t xml:space="preserve">2. GEFCom2014: </w:t>
      </w:r>
      <w:r>
        <w:t>Global Energy Forecasting Competition 2014 dataset comprising 15 rolling forecast tasks of zonal electricity demand (kW) from a U.S. utility. Exhibits smoother commercial load trajectories with pronounced air-conditioning sensitivity.</w:t>
      </w:r>
    </w:p>
    <w:p>
      <w:pPr>
        <w:spacing w:after="100" w:line="276" w:lineRule="auto"/>
      </w:pPr>
      <w:r>
        <w:rPr>
          <w:b/>
          <w:color w:val="2C3E50"/>
        </w:rPr>
        <w:t xml:space="preserve">3. UCI Electricity Load Diagrams: </w:t>
      </w:r>
      <w:r>
        <w:t>UCI Machine Learning Repository dataset comprising hourly electricity consumption (MW) aggregated across 321 industrial, commercial, and residential clients in Portugal (2011–2014). Exhibits high baseload predictability and industrial shift patterns.</w:t>
      </w:r>
    </w:p>
    <w:p>
      <w:pPr>
        <w:keepNext/>
        <w:spacing w:before="160" w:after="80"/>
        <w:jc w:val="center"/>
      </w:pPr>
      <w:r>
        <w:drawing>
          <wp:inline xmlns:a="http://schemas.openxmlformats.org/drawingml/2006/main" xmlns:pic="http://schemas.openxmlformats.org/drawingml/2006/picture">
            <wp:extent cx="5486400" cy="1759686"/>
            <wp:docPr id="3" name="Picture 3"/>
            <wp:cNvGraphicFramePr>
              <a:graphicFrameLocks noChangeAspect="1"/>
            </wp:cNvGraphicFramePr>
            <a:graphic>
              <a:graphicData uri="http://schemas.openxmlformats.org/drawingml/2006/picture">
                <pic:pic>
                  <pic:nvPicPr>
                    <pic:cNvPr id="0" name="fig_4_2_pjm_load_timeline.png"/>
                    <pic:cNvPicPr/>
                  </pic:nvPicPr>
                  <pic:blipFill>
                    <a:blip r:embed="rId11"/>
                    <a:stretch>
                      <a:fillRect/>
                    </a:stretch>
                  </pic:blipFill>
                  <pic:spPr>
                    <a:xfrm>
                      <a:off x="0" y="0"/>
                      <a:ext cx="5486400" cy="1759686"/>
                    </a:xfrm>
                    <a:prstGeom prst="rect"/>
                  </pic:spPr>
                </pic:pic>
              </a:graphicData>
            </a:graphic>
          </wp:inline>
        </w:drawing>
      </w:r>
    </w:p>
    <w:p>
      <w:pPr>
        <w:spacing w:before="40" w:after="240"/>
        <w:jc w:val="center"/>
      </w:pPr>
      <w:r>
        <w:rPr>
          <w:i/>
          <w:color w:val="64748B"/>
          <w:sz w:val="19"/>
        </w:rPr>
        <w:t>Fig. 3: Hourly Load Series Timeline on Modern PJM (2018–2024, Native MW Scale).</w:t>
      </w:r>
    </w:p>
    <w:p>
      <w:pPr>
        <w:keepNext/>
        <w:spacing w:before="160" w:after="80"/>
        <w:jc w:val="center"/>
      </w:pPr>
      <w:r>
        <w:drawing>
          <wp:inline xmlns:a="http://schemas.openxmlformats.org/drawingml/2006/main" xmlns:pic="http://schemas.openxmlformats.org/drawingml/2006/picture">
            <wp:extent cx="5486400" cy="1638275"/>
            <wp:docPr id="4" name="Picture 4"/>
            <wp:cNvGraphicFramePr>
              <a:graphicFrameLocks noChangeAspect="1"/>
            </wp:cNvGraphicFramePr>
            <a:graphic>
              <a:graphicData uri="http://schemas.openxmlformats.org/drawingml/2006/picture">
                <pic:pic>
                  <pic:nvPicPr>
                    <pic:cNvPr id="0" name="fig_4_3_chronological_splits.png"/>
                    <pic:cNvPicPr/>
                  </pic:nvPicPr>
                  <pic:blipFill>
                    <a:blip r:embed="rId12"/>
                    <a:stretch>
                      <a:fillRect/>
                    </a:stretch>
                  </pic:blipFill>
                  <pic:spPr>
                    <a:xfrm>
                      <a:off x="0" y="0"/>
                      <a:ext cx="5486400" cy="1638275"/>
                    </a:xfrm>
                    <a:prstGeom prst="rect"/>
                  </pic:spPr>
                </pic:pic>
              </a:graphicData>
            </a:graphic>
          </wp:inline>
        </w:drawing>
      </w:r>
    </w:p>
    <w:p>
      <w:pPr>
        <w:spacing w:before="40" w:after="240"/>
        <w:jc w:val="center"/>
      </w:pPr>
      <w:r>
        <w:rPr>
          <w:i/>
          <w:color w:val="64748B"/>
          <w:sz w:val="19"/>
        </w:rPr>
        <w:t>Fig. 4: Chronological Splitting Protocol (70% Train, 15% Validation, 15% Test).</w:t>
      </w:r>
    </w:p>
    <w:p>
      <w:pPr>
        <w:keepNext/>
        <w:spacing w:before="280" w:after="80"/>
      </w:pPr>
      <w:r>
        <w:rPr>
          <w:b/>
          <w:color w:val="2C3E50"/>
          <w:sz w:val="26"/>
        </w:rPr>
        <w:t>4.2 Causal Data Ingestion &amp; Preprocessing Protocol</w:t>
      </w:r>
    </w:p>
    <w:p>
      <w:pPr>
        <w:spacing w:after="100" w:line="276" w:lineRule="auto"/>
      </w:pPr>
      <w:r>
        <w:t>To enforce complete mathematical and temporal rigor, all data pipelines obey five non-negotiable scientific safeguards:</w:t>
      </w:r>
    </w:p>
    <w:p>
      <w:pPr>
        <w:spacing w:after="100" w:line="276" w:lineRule="auto"/>
      </w:pPr>
      <w:r>
        <w:rPr>
          <w:b/>
          <w:color w:val="2C3E50"/>
        </w:rPr>
        <w:t xml:space="preserve">1. Chronological Splitting (70/15/15): </w:t>
      </w:r>
      <w:r>
        <w:t>Time-series data is split strictly chronologically: the first 70% of observations constitute the Training partition, the subsequent 15% form the Validation partition (used exclusively for early stopping), and the final 15% constitute the held-out Test partition. Shuffling is strictly prohibited.</w:t>
      </w:r>
    </w:p>
    <w:p>
      <w:pPr>
        <w:spacing w:after="100" w:line="276" w:lineRule="auto"/>
      </w:pPr>
      <w:r>
        <w:rPr>
          <w:b/>
          <w:color w:val="2C3E50"/>
        </w:rPr>
        <w:t xml:space="preserve">2. Train-Only Standardization: </w:t>
      </w:r>
      <w:r>
        <w:t>StandardScaler parameters (mean mu_train, standard deviation sigma_train) and context normalization parameters are fitted exclusively on the 70% training partition: mu_train = 5458.03 MW, sigma_train = 855.39 MW. The validation and test partitions are standardized forward using these frozen training parameters. Computing statistics globally across the entire series represents test leakage and is strictly prevented.</w:t>
      </w:r>
    </w:p>
    <w:p>
      <w:pPr>
        <w:spacing w:after="100" w:line="276" w:lineRule="auto"/>
      </w:pPr>
      <w:r>
        <w:rPr>
          <w:b/>
          <w:color w:val="2C3E50"/>
        </w:rPr>
        <w:t xml:space="preserve">3. Sliding Window Tensor Construction: </w:t>
      </w:r>
      <w:r>
        <w:t>Sliding forecasting windows are generated with lookback L = 168 hours (1 full week of historical context), forecast horizon H = 24 hours (day-ahead trajectory), and stride S = 1 hour. Any window containing missing observations after causal interpolation is rejected.</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872"/>
        <w:gridCol w:w="1872"/>
        <w:gridCol w:w="1872"/>
        <w:gridCol w:w="1872"/>
        <w:gridCol w:w="1872"/>
      </w:tblGrid>
      <w:tr>
        <w:tc>
          <w:tcPr>
            <w:tcW w:type="dxa" w:w="1728"/>
            <w:shd w:fill="1B365D"/>
            <w:tcMar>
              <w:top w:w="100" w:type="dxa"/>
              <w:bottom w:w="100" w:type="dxa"/>
              <w:left w:w="120" w:type="dxa"/>
              <w:right w:w="120" w:type="dxa"/>
            </w:tcMar>
          </w:tcPr>
          <w:p>
            <w:pPr>
              <w:spacing w:after="0"/>
              <w:jc w:val="center"/>
            </w:pPr>
            <w:r>
              <w:rPr>
                <w:b/>
                <w:color w:val="FFFFFF"/>
                <w:sz w:val="19"/>
              </w:rPr>
              <w:t>Partition</w:t>
            </w:r>
          </w:p>
        </w:tc>
        <w:tc>
          <w:tcPr>
            <w:tcW w:type="dxa" w:w="2160"/>
            <w:shd w:fill="1B365D"/>
            <w:tcMar>
              <w:top w:w="100" w:type="dxa"/>
              <w:bottom w:w="100" w:type="dxa"/>
              <w:left w:w="120" w:type="dxa"/>
              <w:right w:w="120" w:type="dxa"/>
            </w:tcMar>
          </w:tcPr>
          <w:p>
            <w:pPr>
              <w:spacing w:after="0"/>
              <w:jc w:val="center"/>
            </w:pPr>
            <w:r>
              <w:rPr>
                <w:b/>
                <w:color w:val="FFFFFF"/>
                <w:sz w:val="19"/>
              </w:rPr>
              <w:t>Temporal Span (UTC)</w:t>
            </w:r>
          </w:p>
        </w:tc>
        <w:tc>
          <w:tcPr>
            <w:tcW w:type="dxa" w:w="1584"/>
            <w:shd w:fill="1B365D"/>
            <w:tcMar>
              <w:top w:w="100" w:type="dxa"/>
              <w:bottom w:w="100" w:type="dxa"/>
              <w:left w:w="120" w:type="dxa"/>
              <w:right w:w="120" w:type="dxa"/>
            </w:tcMar>
          </w:tcPr>
          <w:p>
            <w:pPr>
              <w:spacing w:after="0"/>
              <w:jc w:val="center"/>
            </w:pPr>
            <w:r>
              <w:rPr>
                <w:b/>
                <w:color w:val="FFFFFF"/>
                <w:sz w:val="19"/>
              </w:rPr>
              <w:t>Observation Count</w:t>
            </w:r>
          </w:p>
        </w:tc>
        <w:tc>
          <w:tcPr>
            <w:tcW w:type="dxa" w:w="1728"/>
            <w:shd w:fill="1B365D"/>
            <w:tcMar>
              <w:top w:w="100" w:type="dxa"/>
              <w:bottom w:w="100" w:type="dxa"/>
              <w:left w:w="120" w:type="dxa"/>
              <w:right w:w="120" w:type="dxa"/>
            </w:tcMar>
          </w:tcPr>
          <w:p>
            <w:pPr>
              <w:spacing w:after="0"/>
              <w:jc w:val="center"/>
            </w:pPr>
            <w:r>
              <w:rPr>
                <w:b/>
                <w:color w:val="FFFFFF"/>
                <w:sz w:val="19"/>
              </w:rPr>
              <w:t>Window Count (X, Y, C)</w:t>
            </w:r>
          </w:p>
        </w:tc>
        <w:tc>
          <w:tcPr>
            <w:tcW w:type="dxa" w:w="2160"/>
            <w:shd w:fill="1B365D"/>
            <w:tcMar>
              <w:top w:w="100" w:type="dxa"/>
              <w:bottom w:w="100" w:type="dxa"/>
              <w:left w:w="120" w:type="dxa"/>
              <w:right w:w="120" w:type="dxa"/>
            </w:tcMar>
          </w:tcPr>
          <w:p>
            <w:pPr>
              <w:spacing w:after="0"/>
              <w:jc w:val="center"/>
            </w:pPr>
            <w:r>
              <w:rPr>
                <w:b/>
                <w:color w:val="FFFFFF"/>
                <w:sz w:val="19"/>
              </w:rPr>
              <w:t>Standardization Protocol</w:t>
            </w:r>
          </w:p>
        </w:tc>
      </w:tr>
      <w:tr>
        <w:tc>
          <w:tcPr>
            <w:tcW w:type="dxa" w:w="1728"/>
            <w:shd w:fill="FFFFFF"/>
            <w:tcMar>
              <w:top w:w="80" w:type="dxa"/>
              <w:bottom w:w="80" w:type="dxa"/>
              <w:left w:w="120" w:type="dxa"/>
              <w:right w:w="120" w:type="dxa"/>
            </w:tcMar>
          </w:tcPr>
          <w:p>
            <w:pPr>
              <w:spacing w:after="0"/>
              <w:jc w:val="left"/>
            </w:pPr>
            <w:r>
              <w:rPr>
                <w:color w:val="1E293B"/>
                <w:sz w:val="19"/>
              </w:rPr>
              <w:t>Training Split (70%)</w:t>
            </w:r>
          </w:p>
        </w:tc>
        <w:tc>
          <w:tcPr>
            <w:tcW w:type="dxa" w:w="2160"/>
            <w:shd w:fill="FFFFFF"/>
            <w:tcMar>
              <w:top w:w="80" w:type="dxa"/>
              <w:bottom w:w="80" w:type="dxa"/>
              <w:left w:w="120" w:type="dxa"/>
              <w:right w:w="120" w:type="dxa"/>
            </w:tcMar>
          </w:tcPr>
          <w:p>
            <w:pPr>
              <w:spacing w:after="0"/>
              <w:jc w:val="left"/>
            </w:pPr>
            <w:r>
              <w:rPr>
                <w:color w:val="1E293B"/>
                <w:sz w:val="19"/>
              </w:rPr>
              <w:t>2018-01-01 to 2022-05-12</w:t>
            </w:r>
          </w:p>
        </w:tc>
        <w:tc>
          <w:tcPr>
            <w:tcW w:type="dxa" w:w="1584"/>
            <w:shd w:fill="FFFFFF"/>
            <w:tcMar>
              <w:top w:w="80" w:type="dxa"/>
              <w:bottom w:w="80" w:type="dxa"/>
              <w:left w:w="120" w:type="dxa"/>
              <w:right w:w="120" w:type="dxa"/>
            </w:tcMar>
          </w:tcPr>
          <w:p>
            <w:pPr>
              <w:spacing w:after="0"/>
              <w:jc w:val="right"/>
            </w:pPr>
            <w:r>
              <w:rPr>
                <w:color w:val="1E293B"/>
                <w:sz w:val="19"/>
              </w:rPr>
              <w:t>38,244 hours</w:t>
            </w:r>
          </w:p>
        </w:tc>
        <w:tc>
          <w:tcPr>
            <w:tcW w:type="dxa" w:w="1728"/>
            <w:shd w:fill="FFFFFF"/>
            <w:tcMar>
              <w:top w:w="80" w:type="dxa"/>
              <w:bottom w:w="80" w:type="dxa"/>
              <w:left w:w="120" w:type="dxa"/>
              <w:right w:w="120" w:type="dxa"/>
            </w:tcMar>
          </w:tcPr>
          <w:p>
            <w:pPr>
              <w:spacing w:after="0"/>
              <w:jc w:val="right"/>
            </w:pPr>
            <w:r>
              <w:rPr>
                <w:color w:val="1E293B"/>
                <w:sz w:val="19"/>
              </w:rPr>
              <w:t>38,053 instances</w:t>
            </w:r>
          </w:p>
        </w:tc>
        <w:tc>
          <w:tcPr>
            <w:tcW w:type="dxa" w:w="2160"/>
            <w:shd w:fill="FFFFFF"/>
            <w:tcMar>
              <w:top w:w="80" w:type="dxa"/>
              <w:bottom w:w="80" w:type="dxa"/>
              <w:left w:w="120" w:type="dxa"/>
              <w:right w:w="120" w:type="dxa"/>
            </w:tcMar>
          </w:tcPr>
          <w:p>
            <w:pPr>
              <w:spacing w:after="0"/>
              <w:jc w:val="left"/>
            </w:pPr>
            <w:r>
              <w:rPr>
                <w:color w:val="1E293B"/>
                <w:sz w:val="19"/>
              </w:rPr>
              <w:t>Fitted mu=5458.03, sigma=855.39</w:t>
            </w:r>
          </w:p>
        </w:tc>
      </w:tr>
      <w:tr>
        <w:tc>
          <w:tcPr>
            <w:tcW w:type="dxa" w:w="1728"/>
            <w:shd w:fill="F8FAFC"/>
            <w:tcMar>
              <w:top w:w="80" w:type="dxa"/>
              <w:bottom w:w="80" w:type="dxa"/>
              <w:left w:w="120" w:type="dxa"/>
              <w:right w:w="120" w:type="dxa"/>
            </w:tcMar>
          </w:tcPr>
          <w:p>
            <w:pPr>
              <w:spacing w:after="0"/>
              <w:jc w:val="left"/>
            </w:pPr>
            <w:r>
              <w:rPr>
                <w:color w:val="1E293B"/>
                <w:sz w:val="19"/>
              </w:rPr>
              <w:t>Validation Split (15%)</w:t>
            </w:r>
          </w:p>
        </w:tc>
        <w:tc>
          <w:tcPr>
            <w:tcW w:type="dxa" w:w="2160"/>
            <w:shd w:fill="F8FAFC"/>
            <w:tcMar>
              <w:top w:w="80" w:type="dxa"/>
              <w:bottom w:w="80" w:type="dxa"/>
              <w:left w:w="120" w:type="dxa"/>
              <w:right w:w="120" w:type="dxa"/>
            </w:tcMar>
          </w:tcPr>
          <w:p>
            <w:pPr>
              <w:spacing w:after="0"/>
              <w:jc w:val="left"/>
            </w:pPr>
            <w:r>
              <w:rPr>
                <w:color w:val="1E293B"/>
                <w:sz w:val="19"/>
              </w:rPr>
              <w:t>2022-05-13 to 2023-04-20</w:t>
            </w:r>
          </w:p>
        </w:tc>
        <w:tc>
          <w:tcPr>
            <w:tcW w:type="dxa" w:w="1584"/>
            <w:shd w:fill="F8FAFC"/>
            <w:tcMar>
              <w:top w:w="80" w:type="dxa"/>
              <w:bottom w:w="80" w:type="dxa"/>
              <w:left w:w="120" w:type="dxa"/>
              <w:right w:w="120" w:type="dxa"/>
            </w:tcMar>
          </w:tcPr>
          <w:p>
            <w:pPr>
              <w:spacing w:after="0"/>
              <w:jc w:val="right"/>
            </w:pPr>
            <w:r>
              <w:rPr>
                <w:color w:val="1E293B"/>
                <w:sz w:val="19"/>
              </w:rPr>
              <w:t>8,216 hours</w:t>
            </w:r>
          </w:p>
        </w:tc>
        <w:tc>
          <w:tcPr>
            <w:tcW w:type="dxa" w:w="1728"/>
            <w:shd w:fill="F8FAFC"/>
            <w:tcMar>
              <w:top w:w="80" w:type="dxa"/>
              <w:bottom w:w="80" w:type="dxa"/>
              <w:left w:w="120" w:type="dxa"/>
              <w:right w:w="120" w:type="dxa"/>
            </w:tcMar>
          </w:tcPr>
          <w:p>
            <w:pPr>
              <w:spacing w:after="0"/>
              <w:jc w:val="right"/>
            </w:pPr>
            <w:r>
              <w:rPr>
                <w:color w:val="1E293B"/>
                <w:sz w:val="19"/>
              </w:rPr>
              <w:t>8,025 instances</w:t>
            </w:r>
          </w:p>
        </w:tc>
        <w:tc>
          <w:tcPr>
            <w:tcW w:type="dxa" w:w="2160"/>
            <w:shd w:fill="F8FAFC"/>
            <w:tcMar>
              <w:top w:w="80" w:type="dxa"/>
              <w:bottom w:w="80" w:type="dxa"/>
              <w:left w:w="120" w:type="dxa"/>
              <w:right w:w="120" w:type="dxa"/>
            </w:tcMar>
          </w:tcPr>
          <w:p>
            <w:pPr>
              <w:spacing w:after="0"/>
              <w:jc w:val="left"/>
            </w:pPr>
            <w:r>
              <w:rPr>
                <w:color w:val="1E293B"/>
                <w:sz w:val="19"/>
              </w:rPr>
              <w:t>Standardized using Train mu, sigma</w:t>
            </w:r>
          </w:p>
        </w:tc>
      </w:tr>
      <w:tr>
        <w:tc>
          <w:tcPr>
            <w:tcW w:type="dxa" w:w="1728"/>
            <w:shd w:fill="FFFFFF"/>
            <w:tcMar>
              <w:top w:w="80" w:type="dxa"/>
              <w:bottom w:w="80" w:type="dxa"/>
              <w:left w:w="120" w:type="dxa"/>
              <w:right w:w="120" w:type="dxa"/>
            </w:tcMar>
          </w:tcPr>
          <w:p>
            <w:pPr>
              <w:spacing w:after="0"/>
              <w:jc w:val="left"/>
            </w:pPr>
            <w:r>
              <w:rPr>
                <w:color w:val="1E293B"/>
                <w:sz w:val="19"/>
              </w:rPr>
              <w:t>Test Split (15%)</w:t>
            </w:r>
          </w:p>
        </w:tc>
        <w:tc>
          <w:tcPr>
            <w:tcW w:type="dxa" w:w="2160"/>
            <w:shd w:fill="FFFFFF"/>
            <w:tcMar>
              <w:top w:w="80" w:type="dxa"/>
              <w:bottom w:w="80" w:type="dxa"/>
              <w:left w:w="120" w:type="dxa"/>
              <w:right w:w="120" w:type="dxa"/>
            </w:tcMar>
          </w:tcPr>
          <w:p>
            <w:pPr>
              <w:spacing w:after="0"/>
              <w:jc w:val="left"/>
            </w:pPr>
            <w:r>
              <w:rPr>
                <w:color w:val="1E293B"/>
                <w:sz w:val="19"/>
              </w:rPr>
              <w:t>2023-04-21 to 2024-03-31</w:t>
            </w:r>
          </w:p>
        </w:tc>
        <w:tc>
          <w:tcPr>
            <w:tcW w:type="dxa" w:w="1584"/>
            <w:shd w:fill="FFFFFF"/>
            <w:tcMar>
              <w:top w:w="80" w:type="dxa"/>
              <w:bottom w:w="80" w:type="dxa"/>
              <w:left w:w="120" w:type="dxa"/>
              <w:right w:w="120" w:type="dxa"/>
            </w:tcMar>
          </w:tcPr>
          <w:p>
            <w:pPr>
              <w:spacing w:after="0"/>
              <w:jc w:val="right"/>
            </w:pPr>
            <w:r>
              <w:rPr>
                <w:color w:val="1E293B"/>
                <w:sz w:val="19"/>
              </w:rPr>
              <w:t>8,308 hours</w:t>
            </w:r>
          </w:p>
        </w:tc>
        <w:tc>
          <w:tcPr>
            <w:tcW w:type="dxa" w:w="1728"/>
            <w:shd w:fill="FFFFFF"/>
            <w:tcMar>
              <w:top w:w="80" w:type="dxa"/>
              <w:bottom w:w="80" w:type="dxa"/>
              <w:left w:w="120" w:type="dxa"/>
              <w:right w:w="120" w:type="dxa"/>
            </w:tcMar>
          </w:tcPr>
          <w:p>
            <w:pPr>
              <w:spacing w:after="0"/>
              <w:jc w:val="left"/>
            </w:pPr>
            <w:r>
              <w:rPr>
                <w:color w:val="1E293B"/>
                <w:sz w:val="19"/>
              </w:rPr>
              <w:t>1,294 non-overlapping / 8,117 rolling</w:t>
            </w:r>
          </w:p>
        </w:tc>
        <w:tc>
          <w:tcPr>
            <w:tcW w:type="dxa" w:w="2160"/>
            <w:shd w:fill="FFFFFF"/>
            <w:tcMar>
              <w:top w:w="80" w:type="dxa"/>
              <w:bottom w:w="80" w:type="dxa"/>
              <w:left w:w="120" w:type="dxa"/>
              <w:right w:w="120" w:type="dxa"/>
            </w:tcMar>
          </w:tcPr>
          <w:p>
            <w:pPr>
              <w:spacing w:after="0"/>
              <w:jc w:val="left"/>
            </w:pPr>
            <w:r>
              <w:rPr>
                <w:color w:val="1E293B"/>
                <w:sz w:val="19"/>
              </w:rPr>
              <w:t>Standardized using Train mu, sigma</w:t>
            </w:r>
          </w:p>
        </w:tc>
      </w:tr>
      <w:tr>
        <w:tc>
          <w:tcPr>
            <w:tcW w:type="dxa" w:w="1728"/>
            <w:shd w:fill="F8FAFC"/>
            <w:tcMar>
              <w:top w:w="80" w:type="dxa"/>
              <w:bottom w:w="80" w:type="dxa"/>
              <w:left w:w="120" w:type="dxa"/>
              <w:right w:w="120" w:type="dxa"/>
            </w:tcMar>
          </w:tcPr>
          <w:p>
            <w:pPr>
              <w:spacing w:after="0"/>
              <w:jc w:val="left"/>
            </w:pPr>
            <w:r>
              <w:rPr>
                <w:color w:val="1E293B"/>
                <w:sz w:val="19"/>
              </w:rPr>
              <w:t>Total Dataset</w:t>
            </w:r>
          </w:p>
        </w:tc>
        <w:tc>
          <w:tcPr>
            <w:tcW w:type="dxa" w:w="2160"/>
            <w:shd w:fill="F8FAFC"/>
            <w:tcMar>
              <w:top w:w="80" w:type="dxa"/>
              <w:bottom w:w="80" w:type="dxa"/>
              <w:left w:w="120" w:type="dxa"/>
              <w:right w:w="120" w:type="dxa"/>
            </w:tcMar>
          </w:tcPr>
          <w:p>
            <w:pPr>
              <w:spacing w:after="0"/>
              <w:jc w:val="left"/>
            </w:pPr>
            <w:r>
              <w:rPr>
                <w:color w:val="1E293B"/>
                <w:sz w:val="19"/>
              </w:rPr>
              <w:t>2018-01-01 to 2024-03-31</w:t>
            </w:r>
          </w:p>
        </w:tc>
        <w:tc>
          <w:tcPr>
            <w:tcW w:type="dxa" w:w="1584"/>
            <w:shd w:fill="F8FAFC"/>
            <w:tcMar>
              <w:top w:w="80" w:type="dxa"/>
              <w:bottom w:w="80" w:type="dxa"/>
              <w:left w:w="120" w:type="dxa"/>
              <w:right w:w="120" w:type="dxa"/>
            </w:tcMar>
          </w:tcPr>
          <w:p>
            <w:pPr>
              <w:spacing w:after="0"/>
              <w:jc w:val="right"/>
            </w:pPr>
            <w:r>
              <w:rPr>
                <w:color w:val="1E293B"/>
                <w:sz w:val="19"/>
              </w:rPr>
              <w:t>54,768 hours</w:t>
            </w:r>
          </w:p>
        </w:tc>
        <w:tc>
          <w:tcPr>
            <w:tcW w:type="dxa" w:w="1728"/>
            <w:shd w:fill="F8FAFC"/>
            <w:tcMar>
              <w:top w:w="80" w:type="dxa"/>
              <w:bottom w:w="80" w:type="dxa"/>
              <w:left w:w="120" w:type="dxa"/>
              <w:right w:w="120" w:type="dxa"/>
            </w:tcMar>
          </w:tcPr>
          <w:p>
            <w:pPr>
              <w:spacing w:after="0"/>
              <w:jc w:val="left"/>
            </w:pPr>
            <w:r>
              <w:rPr>
                <w:color w:val="1E293B"/>
                <w:sz w:val="19"/>
              </w:rPr>
              <w:t>54,195 total windows</w:t>
            </w:r>
          </w:p>
        </w:tc>
        <w:tc>
          <w:tcPr>
            <w:tcW w:type="dxa" w:w="2160"/>
            <w:shd w:fill="F8FAFC"/>
            <w:tcMar>
              <w:top w:w="80" w:type="dxa"/>
              <w:bottom w:w="80" w:type="dxa"/>
              <w:left w:w="120" w:type="dxa"/>
              <w:right w:w="120" w:type="dxa"/>
            </w:tcMar>
          </w:tcPr>
          <w:p>
            <w:pPr>
              <w:spacing w:after="0"/>
              <w:jc w:val="left"/>
            </w:pPr>
            <w:r>
              <w:rPr>
                <w:color w:val="1E293B"/>
                <w:sz w:val="19"/>
              </w:rPr>
              <w:t>Strict Causal Zero-Leakage Boundary</w:t>
            </w:r>
          </w:p>
        </w:tc>
      </w:tr>
    </w:tbl>
    <w:p>
      <w:pPr>
        <w:spacing w:after="160"/>
      </w:pPr>
    </w:p>
    <w:p>
      <w:pPr>
        <w:keepNext/>
        <w:spacing w:before="160" w:after="80"/>
        <w:jc w:val="center"/>
      </w:pPr>
      <w:r>
        <w:drawing>
          <wp:inline xmlns:a="http://schemas.openxmlformats.org/drawingml/2006/main" xmlns:pic="http://schemas.openxmlformats.org/drawingml/2006/picture">
            <wp:extent cx="5486400" cy="3044520"/>
            <wp:docPr id="5" name="Picture 5"/>
            <wp:cNvGraphicFramePr>
              <a:graphicFrameLocks noChangeAspect="1"/>
            </wp:cNvGraphicFramePr>
            <a:graphic>
              <a:graphicData uri="http://schemas.openxmlformats.org/drawingml/2006/picture">
                <pic:pic>
                  <pic:nvPicPr>
                    <pic:cNvPr id="0" name="fig_4_4_preprocessing_and_tensors.png"/>
                    <pic:cNvPicPr/>
                  </pic:nvPicPr>
                  <pic:blipFill>
                    <a:blip r:embed="rId13"/>
                    <a:stretch>
                      <a:fillRect/>
                    </a:stretch>
                  </pic:blipFill>
                  <pic:spPr>
                    <a:xfrm>
                      <a:off x="0" y="0"/>
                      <a:ext cx="5486400" cy="3044520"/>
                    </a:xfrm>
                    <a:prstGeom prst="rect"/>
                  </pic:spPr>
                </pic:pic>
              </a:graphicData>
            </a:graphic>
          </wp:inline>
        </w:drawing>
      </w:r>
    </w:p>
    <w:p>
      <w:pPr>
        <w:spacing w:before="40" w:after="240"/>
        <w:jc w:val="center"/>
      </w:pPr>
      <w:r>
        <w:rPr>
          <w:i/>
          <w:color w:val="64748B"/>
          <w:sz w:val="19"/>
        </w:rPr>
        <w:t>Fig. 5: Preprocessing Diagnostics, StandardScaler Verification, and Tensor Dimensions.</w:t>
      </w:r>
    </w:p>
    <w:p>
      <w:pPr>
        <w:keepNext/>
        <w:spacing w:before="280" w:after="80"/>
      </w:pPr>
      <w:r>
        <w:rPr>
          <w:b/>
          <w:color w:val="2C3E50"/>
          <w:sz w:val="26"/>
        </w:rPr>
        <w:t>4.3 Causality and Zero-Leakage Test Suite</w:t>
      </w:r>
    </w:p>
    <w:p>
      <w:pPr>
        <w:spacing w:after="100" w:line="276" w:lineRule="auto"/>
      </w:pPr>
      <w:r>
        <w:t>To provide empirical verification that no future information leaks into the context router, we implemented an automated unit test suite (tests/test_causality.py) executing three counterfactual tests:</w:t>
      </w:r>
    </w:p>
    <w:p>
      <w:pPr>
        <w:spacing w:after="100" w:line="276" w:lineRule="auto"/>
      </w:pPr>
      <w:r>
        <w:rPr>
          <w:b/>
          <w:color w:val="2C3E50"/>
        </w:rPr>
        <w:t xml:space="preserve">• Test ISS-01 (Counterfactual Target Perturbation): </w:t>
      </w:r>
      <w:r>
        <w:t>At forecast origin t_0, future target values Y_{t_0} = [y_{t_0+1}, ..., y_{t_0+24}] are multiplied by 10.0 and offset by +5000.0 MW. The test asserts that context features C_{t_0} and recent error rec_err_{t_0} remain bitwise invariant (diff = 0.0), proving that the router cannot perceive future values. Downstream origins (t &gt;= t_0 + 24) change, confirming that perturbation actively flows through the walk-forward tracker.</w:t>
      </w:r>
    </w:p>
    <w:p>
      <w:pPr>
        <w:spacing w:after="100" w:line="276" w:lineRule="auto"/>
      </w:pPr>
      <w:r>
        <w:rPr>
          <w:b/>
          <w:color w:val="2C3E50"/>
        </w:rPr>
        <w:t xml:space="preserve">• Test ISS-02 (Recent Error Availability): </w:t>
      </w:r>
      <w:r>
        <w:t>Asserts that for every forecast origin t, the historical forecast horizon used to compute recent error completed at or before t (t_end &lt;= t).</w:t>
      </w:r>
    </w:p>
    <w:p>
      <w:pPr>
        <w:spacing w:after="100" w:line="276" w:lineRule="auto"/>
      </w:pPr>
      <w:r>
        <w:rPr>
          <w:b/>
          <w:color w:val="2C3E50"/>
        </w:rPr>
        <w:t xml:space="preserve">• Test ISS-03 (Warm-Up Prior Isolation): </w:t>
      </w:r>
      <w:r>
        <w:t>Asserts that during the initial lookback warmup of the training set (hours 0 to 191), recent error defaults deterministically to the training warmup prior, eliminating circular self-prediction.</w:t>
      </w:r>
    </w:p>
    <w:p>
      <w:pPr>
        <w:keepNext/>
        <w:spacing w:before="160" w:after="80"/>
        <w:jc w:val="center"/>
      </w:pPr>
      <w:r>
        <w:drawing>
          <wp:inline xmlns:a="http://schemas.openxmlformats.org/drawingml/2006/main" xmlns:pic="http://schemas.openxmlformats.org/drawingml/2006/picture">
            <wp:extent cx="5486400" cy="1661782"/>
            <wp:docPr id="6" name="Picture 6"/>
            <wp:cNvGraphicFramePr>
              <a:graphicFrameLocks noChangeAspect="1"/>
            </wp:cNvGraphicFramePr>
            <a:graphic>
              <a:graphicData uri="http://schemas.openxmlformats.org/drawingml/2006/picture">
                <pic:pic>
                  <pic:nvPicPr>
                    <pic:cNvPr id="0" name="fig_4_5_causality_test_suite.png"/>
                    <pic:cNvPicPr/>
                  </pic:nvPicPr>
                  <pic:blipFill>
                    <a:blip r:embed="rId14"/>
                    <a:stretch>
                      <a:fillRect/>
                    </a:stretch>
                  </pic:blipFill>
                  <pic:spPr>
                    <a:xfrm>
                      <a:off x="0" y="0"/>
                      <a:ext cx="5486400" cy="1661782"/>
                    </a:xfrm>
                    <a:prstGeom prst="rect"/>
                  </pic:spPr>
                </pic:pic>
              </a:graphicData>
            </a:graphic>
          </wp:inline>
        </w:drawing>
      </w:r>
    </w:p>
    <w:p>
      <w:pPr>
        <w:spacing w:before="40" w:after="240"/>
        <w:jc w:val="center"/>
      </w:pPr>
      <w:r>
        <w:rPr>
          <w:i/>
          <w:color w:val="64748B"/>
          <w:sz w:val="19"/>
        </w:rPr>
        <w:t>Fig. 6: Automated Causality and Leakage Test Suite Results (All 35 Test Assertions Passed).</w:t>
      </w:r>
    </w:p>
    <w:p>
      <w:pPr>
        <w:keepNext/>
        <w:spacing w:before="280" w:after="80"/>
      </w:pPr>
      <w:r>
        <w:rPr>
          <w:b/>
          <w:color w:val="2C3E50"/>
          <w:sz w:val="26"/>
        </w:rPr>
        <w:t>4.4 Hardware, Software &amp; Hyperparameter Protocol</w:t>
      </w:r>
    </w:p>
    <w:p>
      <w:pPr>
        <w:spacing w:after="100" w:line="276" w:lineRule="auto"/>
      </w:pPr>
      <w:r>
        <w:t>Models were implemented in PyTorch 2.0+ with CUDA acceleration and executed on an NVIDIA GeForce RTX 4050 Laptop GPU (6 GB VRAM) under Windows 11. To account for parameter initialization variance and stochastic optimizer trajectories, all models were trained across five fixed random seeds: seeds = [42, 123, 999, 2024, 3407].</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3120"/>
        <w:gridCol w:w="3120"/>
        <w:gridCol w:w="3120"/>
      </w:tblGrid>
      <w:tr>
        <w:tc>
          <w:tcPr>
            <w:tcW w:type="dxa" w:w="2160"/>
            <w:shd w:fill="1B365D"/>
            <w:tcMar>
              <w:top w:w="100" w:type="dxa"/>
              <w:bottom w:w="100" w:type="dxa"/>
              <w:left w:w="120" w:type="dxa"/>
              <w:right w:w="120" w:type="dxa"/>
            </w:tcMar>
          </w:tcPr>
          <w:p>
            <w:pPr>
              <w:spacing w:after="0"/>
              <w:jc w:val="center"/>
            </w:pPr>
            <w:r>
              <w:rPr>
                <w:b/>
                <w:color w:val="FFFFFF"/>
                <w:sz w:val="19"/>
              </w:rPr>
              <w:t>Training Parameter</w:t>
            </w:r>
          </w:p>
        </w:tc>
        <w:tc>
          <w:tcPr>
            <w:tcW w:type="dxa" w:w="3168"/>
            <w:shd w:fill="1B365D"/>
            <w:tcMar>
              <w:top w:w="100" w:type="dxa"/>
              <w:bottom w:w="100" w:type="dxa"/>
              <w:left w:w="120" w:type="dxa"/>
              <w:right w:w="120" w:type="dxa"/>
            </w:tcMar>
          </w:tcPr>
          <w:p>
            <w:pPr>
              <w:spacing w:after="0"/>
              <w:jc w:val="center"/>
            </w:pPr>
            <w:r>
              <w:rPr>
                <w:b/>
                <w:color w:val="FFFFFF"/>
                <w:sz w:val="19"/>
              </w:rPr>
              <w:t>Configured Setting</w:t>
            </w:r>
          </w:p>
        </w:tc>
        <w:tc>
          <w:tcPr>
            <w:tcW w:type="dxa" w:w="4032"/>
            <w:shd w:fill="1B365D"/>
            <w:tcMar>
              <w:top w:w="100" w:type="dxa"/>
              <w:bottom w:w="100" w:type="dxa"/>
              <w:left w:w="120" w:type="dxa"/>
              <w:right w:w="120" w:type="dxa"/>
            </w:tcMar>
          </w:tcPr>
          <w:p>
            <w:pPr>
              <w:spacing w:after="0"/>
              <w:jc w:val="center"/>
            </w:pPr>
            <w:r>
              <w:rPr>
                <w:b/>
                <w:color w:val="FFFFFF"/>
                <w:sz w:val="19"/>
              </w:rPr>
              <w:t>Operational Motivation / Justification</w:t>
            </w:r>
          </w:p>
        </w:tc>
      </w:tr>
      <w:tr>
        <w:tc>
          <w:tcPr>
            <w:tcW w:type="dxa" w:w="2160"/>
            <w:shd w:fill="FFFFFF"/>
            <w:tcMar>
              <w:top w:w="80" w:type="dxa"/>
              <w:bottom w:w="80" w:type="dxa"/>
              <w:left w:w="120" w:type="dxa"/>
              <w:right w:w="120" w:type="dxa"/>
            </w:tcMar>
          </w:tcPr>
          <w:p>
            <w:pPr>
              <w:spacing w:after="0"/>
              <w:jc w:val="left"/>
            </w:pPr>
            <w:r>
              <w:rPr>
                <w:color w:val="1E293B"/>
                <w:sz w:val="19"/>
              </w:rPr>
              <w:t>Loss Function</w:t>
            </w:r>
          </w:p>
        </w:tc>
        <w:tc>
          <w:tcPr>
            <w:tcW w:type="dxa" w:w="3168"/>
            <w:shd w:fill="FFFFFF"/>
            <w:tcMar>
              <w:top w:w="80" w:type="dxa"/>
              <w:bottom w:w="80" w:type="dxa"/>
              <w:left w:w="120" w:type="dxa"/>
              <w:right w:w="120" w:type="dxa"/>
            </w:tcMar>
          </w:tcPr>
          <w:p>
            <w:pPr>
              <w:spacing w:after="0"/>
              <w:jc w:val="left"/>
            </w:pPr>
            <w:r>
              <w:rPr>
                <w:color w:val="1E293B"/>
                <w:sz w:val="19"/>
              </w:rPr>
              <w:t>Standardized MSE</w:t>
            </w:r>
          </w:p>
        </w:tc>
        <w:tc>
          <w:tcPr>
            <w:tcW w:type="dxa" w:w="4032"/>
            <w:shd w:fill="FFFFFF"/>
            <w:tcMar>
              <w:top w:w="80" w:type="dxa"/>
              <w:bottom w:w="80" w:type="dxa"/>
              <w:left w:w="120" w:type="dxa"/>
              <w:right w:w="120" w:type="dxa"/>
            </w:tcMar>
          </w:tcPr>
          <w:p>
            <w:pPr>
              <w:spacing w:after="0"/>
              <w:jc w:val="left"/>
            </w:pPr>
            <w:r>
              <w:rPr>
                <w:color w:val="1E293B"/>
                <w:sz w:val="19"/>
              </w:rPr>
              <w:t>L = (1/24) sum (y_{t+h} - y_hat_{t+h})^2 on standardized scale.</w:t>
            </w:r>
          </w:p>
        </w:tc>
      </w:tr>
      <w:tr>
        <w:tc>
          <w:tcPr>
            <w:tcW w:type="dxa" w:w="2160"/>
            <w:shd w:fill="F8FAFC"/>
            <w:tcMar>
              <w:top w:w="80" w:type="dxa"/>
              <w:bottom w:w="80" w:type="dxa"/>
              <w:left w:w="120" w:type="dxa"/>
              <w:right w:w="120" w:type="dxa"/>
            </w:tcMar>
          </w:tcPr>
          <w:p>
            <w:pPr>
              <w:spacing w:after="0"/>
              <w:jc w:val="left"/>
            </w:pPr>
            <w:r>
              <w:rPr>
                <w:color w:val="1E293B"/>
                <w:sz w:val="19"/>
              </w:rPr>
              <w:t>Optimizer</w:t>
            </w:r>
          </w:p>
        </w:tc>
        <w:tc>
          <w:tcPr>
            <w:tcW w:type="dxa" w:w="3168"/>
            <w:shd w:fill="F8FAFC"/>
            <w:tcMar>
              <w:top w:w="80" w:type="dxa"/>
              <w:bottom w:w="80" w:type="dxa"/>
              <w:left w:w="120" w:type="dxa"/>
              <w:right w:w="120" w:type="dxa"/>
            </w:tcMar>
          </w:tcPr>
          <w:p>
            <w:pPr>
              <w:spacing w:after="0"/>
              <w:jc w:val="left"/>
            </w:pPr>
            <w:r>
              <w:rPr>
                <w:color w:val="1E293B"/>
                <w:sz w:val="19"/>
              </w:rPr>
              <w:t>AdamW (lr = 1e-3, weight_decay = 1e-4)</w:t>
            </w:r>
          </w:p>
        </w:tc>
        <w:tc>
          <w:tcPr>
            <w:tcW w:type="dxa" w:w="4032"/>
            <w:shd w:fill="F8FAFC"/>
            <w:tcMar>
              <w:top w:w="80" w:type="dxa"/>
              <w:bottom w:w="80" w:type="dxa"/>
              <w:left w:w="120" w:type="dxa"/>
              <w:right w:w="120" w:type="dxa"/>
            </w:tcMar>
          </w:tcPr>
          <w:p>
            <w:pPr>
              <w:spacing w:after="0"/>
              <w:jc w:val="left"/>
            </w:pPr>
            <w:r>
              <w:rPr>
                <w:color w:val="1E293B"/>
                <w:sz w:val="19"/>
              </w:rPr>
              <w:t>Decoupled weight decay regularization preventing expert weight explosion.</w:t>
            </w:r>
          </w:p>
        </w:tc>
      </w:tr>
      <w:tr>
        <w:tc>
          <w:tcPr>
            <w:tcW w:type="dxa" w:w="2160"/>
            <w:shd w:fill="FFFFFF"/>
            <w:tcMar>
              <w:top w:w="80" w:type="dxa"/>
              <w:bottom w:w="80" w:type="dxa"/>
              <w:left w:w="120" w:type="dxa"/>
              <w:right w:w="120" w:type="dxa"/>
            </w:tcMar>
          </w:tcPr>
          <w:p>
            <w:pPr>
              <w:spacing w:after="0"/>
              <w:jc w:val="left"/>
            </w:pPr>
            <w:r>
              <w:rPr>
                <w:color w:val="1E293B"/>
                <w:sz w:val="19"/>
              </w:rPr>
              <w:t>Learning Rate Scheduler</w:t>
            </w:r>
          </w:p>
        </w:tc>
        <w:tc>
          <w:tcPr>
            <w:tcW w:type="dxa" w:w="3168"/>
            <w:shd w:fill="FFFFFF"/>
            <w:tcMar>
              <w:top w:w="80" w:type="dxa"/>
              <w:bottom w:w="80" w:type="dxa"/>
              <w:left w:w="120" w:type="dxa"/>
              <w:right w:w="120" w:type="dxa"/>
            </w:tcMar>
          </w:tcPr>
          <w:p>
            <w:pPr>
              <w:spacing w:after="0"/>
              <w:jc w:val="left"/>
            </w:pPr>
            <w:r>
              <w:rPr>
                <w:color w:val="1E293B"/>
                <w:sz w:val="19"/>
              </w:rPr>
              <w:t>StepLR (step_size = 15, gamma = 0.5)</w:t>
            </w:r>
          </w:p>
        </w:tc>
        <w:tc>
          <w:tcPr>
            <w:tcW w:type="dxa" w:w="4032"/>
            <w:shd w:fill="FFFFFF"/>
            <w:tcMar>
              <w:top w:w="80" w:type="dxa"/>
              <w:bottom w:w="80" w:type="dxa"/>
              <w:left w:w="120" w:type="dxa"/>
              <w:right w:w="120" w:type="dxa"/>
            </w:tcMar>
          </w:tcPr>
          <w:p>
            <w:pPr>
              <w:spacing w:after="0"/>
              <w:jc w:val="left"/>
            </w:pPr>
            <w:r>
              <w:rPr>
                <w:color w:val="1E293B"/>
                <w:sz w:val="19"/>
              </w:rPr>
              <w:t>Decays learning rate smoothly every 15 epochs to stabilize gating convergence.</w:t>
            </w:r>
          </w:p>
        </w:tc>
      </w:tr>
      <w:tr>
        <w:tc>
          <w:tcPr>
            <w:tcW w:type="dxa" w:w="2160"/>
            <w:shd w:fill="F8FAFC"/>
            <w:tcMar>
              <w:top w:w="80" w:type="dxa"/>
              <w:bottom w:w="80" w:type="dxa"/>
              <w:left w:w="120" w:type="dxa"/>
              <w:right w:w="120" w:type="dxa"/>
            </w:tcMar>
          </w:tcPr>
          <w:p>
            <w:pPr>
              <w:spacing w:after="0"/>
              <w:jc w:val="left"/>
            </w:pPr>
            <w:r>
              <w:rPr>
                <w:color w:val="1E293B"/>
                <w:sz w:val="19"/>
              </w:rPr>
              <w:t>Batch Size</w:t>
            </w:r>
          </w:p>
        </w:tc>
        <w:tc>
          <w:tcPr>
            <w:tcW w:type="dxa" w:w="3168"/>
            <w:shd w:fill="F8FAFC"/>
            <w:tcMar>
              <w:top w:w="80" w:type="dxa"/>
              <w:bottom w:w="80" w:type="dxa"/>
              <w:left w:w="120" w:type="dxa"/>
              <w:right w:w="120" w:type="dxa"/>
            </w:tcMar>
          </w:tcPr>
          <w:p>
            <w:pPr>
              <w:spacing w:after="0"/>
              <w:jc w:val="right"/>
            </w:pPr>
            <w:r>
              <w:rPr>
                <w:color w:val="1E293B"/>
                <w:sz w:val="19"/>
              </w:rPr>
              <w:t>64 instances</w:t>
            </w:r>
          </w:p>
        </w:tc>
        <w:tc>
          <w:tcPr>
            <w:tcW w:type="dxa" w:w="4032"/>
            <w:shd w:fill="F8FAFC"/>
            <w:tcMar>
              <w:top w:w="80" w:type="dxa"/>
              <w:bottom w:w="80" w:type="dxa"/>
              <w:left w:w="120" w:type="dxa"/>
              <w:right w:w="120" w:type="dxa"/>
            </w:tcMar>
          </w:tcPr>
          <w:p>
            <w:pPr>
              <w:spacing w:after="0"/>
              <w:jc w:val="left"/>
            </w:pPr>
            <w:r>
              <w:rPr>
                <w:color w:val="1E293B"/>
                <w:sz w:val="19"/>
              </w:rPr>
              <w:t>Provides balanced stochastic gradient variance and GPU memory throughput.</w:t>
            </w:r>
          </w:p>
        </w:tc>
      </w:tr>
      <w:tr>
        <w:tc>
          <w:tcPr>
            <w:tcW w:type="dxa" w:w="2160"/>
            <w:shd w:fill="FFFFFF"/>
            <w:tcMar>
              <w:top w:w="80" w:type="dxa"/>
              <w:bottom w:w="80" w:type="dxa"/>
              <w:left w:w="120" w:type="dxa"/>
              <w:right w:w="120" w:type="dxa"/>
            </w:tcMar>
          </w:tcPr>
          <w:p>
            <w:pPr>
              <w:spacing w:after="0"/>
              <w:jc w:val="left"/>
            </w:pPr>
            <w:r>
              <w:rPr>
                <w:color w:val="1E293B"/>
                <w:sz w:val="19"/>
              </w:rPr>
              <w:t>Maximum Epochs</w:t>
            </w:r>
          </w:p>
        </w:tc>
        <w:tc>
          <w:tcPr>
            <w:tcW w:type="dxa" w:w="3168"/>
            <w:shd w:fill="FFFFFF"/>
            <w:tcMar>
              <w:top w:w="80" w:type="dxa"/>
              <w:bottom w:w="80" w:type="dxa"/>
              <w:left w:w="120" w:type="dxa"/>
              <w:right w:w="120" w:type="dxa"/>
            </w:tcMar>
          </w:tcPr>
          <w:p>
            <w:pPr>
              <w:spacing w:after="0"/>
              <w:jc w:val="right"/>
            </w:pPr>
            <w:r>
              <w:rPr>
                <w:color w:val="1E293B"/>
                <w:sz w:val="19"/>
              </w:rPr>
              <w:t>100 epochs</w:t>
            </w:r>
          </w:p>
        </w:tc>
        <w:tc>
          <w:tcPr>
            <w:tcW w:type="dxa" w:w="4032"/>
            <w:shd w:fill="FFFFFF"/>
            <w:tcMar>
              <w:top w:w="80" w:type="dxa"/>
              <w:bottom w:w="80" w:type="dxa"/>
              <w:left w:w="120" w:type="dxa"/>
              <w:right w:w="120" w:type="dxa"/>
            </w:tcMar>
          </w:tcPr>
          <w:p>
            <w:pPr>
              <w:spacing w:after="0"/>
              <w:jc w:val="left"/>
            </w:pPr>
            <w:r>
              <w:rPr>
                <w:color w:val="1E293B"/>
                <w:sz w:val="19"/>
              </w:rPr>
              <w:t>Sufficient horizon for convergence across all 3 heterogeneous expert submodules.</w:t>
            </w:r>
          </w:p>
        </w:tc>
      </w:tr>
      <w:tr>
        <w:tc>
          <w:tcPr>
            <w:tcW w:type="dxa" w:w="2160"/>
            <w:shd w:fill="F8FAFC"/>
            <w:tcMar>
              <w:top w:w="80" w:type="dxa"/>
              <w:bottom w:w="80" w:type="dxa"/>
              <w:left w:w="120" w:type="dxa"/>
              <w:right w:w="120" w:type="dxa"/>
            </w:tcMar>
          </w:tcPr>
          <w:p>
            <w:pPr>
              <w:spacing w:after="0"/>
              <w:jc w:val="left"/>
            </w:pPr>
            <w:r>
              <w:rPr>
                <w:color w:val="1E293B"/>
                <w:sz w:val="19"/>
              </w:rPr>
              <w:t>Early Stopping</w:t>
            </w:r>
          </w:p>
        </w:tc>
        <w:tc>
          <w:tcPr>
            <w:tcW w:type="dxa" w:w="3168"/>
            <w:shd w:fill="F8FAFC"/>
            <w:tcMar>
              <w:top w:w="80" w:type="dxa"/>
              <w:bottom w:w="80" w:type="dxa"/>
              <w:left w:w="120" w:type="dxa"/>
              <w:right w:w="120" w:type="dxa"/>
            </w:tcMar>
          </w:tcPr>
          <w:p>
            <w:pPr>
              <w:spacing w:after="0"/>
              <w:jc w:val="left"/>
            </w:pPr>
            <w:r>
              <w:rPr>
                <w:color w:val="1E293B"/>
                <w:sz w:val="19"/>
              </w:rPr>
              <w:t>Validation MSE (patience = 10 epochs)</w:t>
            </w:r>
          </w:p>
        </w:tc>
        <w:tc>
          <w:tcPr>
            <w:tcW w:type="dxa" w:w="4032"/>
            <w:shd w:fill="F8FAFC"/>
            <w:tcMar>
              <w:top w:w="80" w:type="dxa"/>
              <w:bottom w:w="80" w:type="dxa"/>
              <w:left w:w="120" w:type="dxa"/>
              <w:right w:w="120" w:type="dxa"/>
            </w:tcMar>
          </w:tcPr>
          <w:p>
            <w:pPr>
              <w:spacing w:after="0"/>
              <w:jc w:val="left"/>
            </w:pPr>
            <w:r>
              <w:rPr>
                <w:color w:val="1E293B"/>
                <w:sz w:val="19"/>
              </w:rPr>
              <w:t>Monitors validation loss; restores best checkpoint strictly to prevent test overfitting.</w:t>
            </w:r>
          </w:p>
        </w:tc>
      </w:tr>
      <w:tr>
        <w:tc>
          <w:tcPr>
            <w:tcW w:type="dxa" w:w="2160"/>
            <w:shd w:fill="FFFFFF"/>
            <w:tcMar>
              <w:top w:w="80" w:type="dxa"/>
              <w:bottom w:w="80" w:type="dxa"/>
              <w:left w:w="120" w:type="dxa"/>
              <w:right w:w="120" w:type="dxa"/>
            </w:tcMar>
          </w:tcPr>
          <w:p>
            <w:pPr>
              <w:spacing w:after="0"/>
              <w:jc w:val="left"/>
            </w:pPr>
            <w:r>
              <w:rPr>
                <w:color w:val="1E293B"/>
                <w:sz w:val="19"/>
              </w:rPr>
              <w:t>Evaluation Scale</w:t>
            </w:r>
          </w:p>
        </w:tc>
        <w:tc>
          <w:tcPr>
            <w:tcW w:type="dxa" w:w="3168"/>
            <w:shd w:fill="FFFFFF"/>
            <w:tcMar>
              <w:top w:w="80" w:type="dxa"/>
              <w:bottom w:w="80" w:type="dxa"/>
              <w:left w:w="120" w:type="dxa"/>
              <w:right w:w="120" w:type="dxa"/>
            </w:tcMar>
          </w:tcPr>
          <w:p>
            <w:pPr>
              <w:spacing w:after="0"/>
              <w:jc w:val="left"/>
            </w:pPr>
            <w:r>
              <w:rPr>
                <w:color w:val="1E293B"/>
                <w:sz w:val="19"/>
              </w:rPr>
              <w:t>Original Physical Scale (MW / kW)</w:t>
            </w:r>
          </w:p>
        </w:tc>
        <w:tc>
          <w:tcPr>
            <w:tcW w:type="dxa" w:w="4032"/>
            <w:shd w:fill="FFFFFF"/>
            <w:tcMar>
              <w:top w:w="80" w:type="dxa"/>
              <w:bottom w:w="80" w:type="dxa"/>
              <w:left w:w="120" w:type="dxa"/>
              <w:right w:w="120" w:type="dxa"/>
            </w:tcMar>
          </w:tcPr>
          <w:p>
            <w:pPr>
              <w:spacing w:after="0"/>
              <w:jc w:val="left"/>
            </w:pPr>
            <w:r>
              <w:rPr>
                <w:color w:val="1E293B"/>
                <w:sz w:val="19"/>
              </w:rPr>
              <w:t>All reported test metrics inverse-transformed using training scale (y * sigma + mu).</w:t>
            </w:r>
          </w:p>
        </w:tc>
      </w:tr>
    </w:tbl>
    <w:p>
      <w:pPr>
        <w:spacing w:after="160"/>
      </w:pPr>
    </w:p>
    <w:p>
      <w:pPr>
        <w:keepNext/>
        <w:spacing w:before="160" w:after="80"/>
        <w:jc w:val="center"/>
      </w:pPr>
      <w:r>
        <w:drawing>
          <wp:inline xmlns:a="http://schemas.openxmlformats.org/drawingml/2006/main" xmlns:pic="http://schemas.openxmlformats.org/drawingml/2006/picture">
            <wp:extent cx="5303520" cy="2869870"/>
            <wp:docPr id="7" name="Picture 7"/>
            <wp:cNvGraphicFramePr>
              <a:graphicFrameLocks noChangeAspect="1"/>
            </wp:cNvGraphicFramePr>
            <a:graphic>
              <a:graphicData uri="http://schemas.openxmlformats.org/drawingml/2006/picture">
                <pic:pic>
                  <pic:nvPicPr>
                    <pic:cNvPr id="0" name="fig_training_loss_curves_seed42.png"/>
                    <pic:cNvPicPr/>
                  </pic:nvPicPr>
                  <pic:blipFill>
                    <a:blip r:embed="rId15"/>
                    <a:stretch>
                      <a:fillRect/>
                    </a:stretch>
                  </pic:blipFill>
                  <pic:spPr>
                    <a:xfrm>
                      <a:off x="0" y="0"/>
                      <a:ext cx="5303520" cy="2869870"/>
                    </a:xfrm>
                    <a:prstGeom prst="rect"/>
                  </pic:spPr>
                </pic:pic>
              </a:graphicData>
            </a:graphic>
          </wp:inline>
        </w:drawing>
      </w:r>
    </w:p>
    <w:p>
      <w:pPr>
        <w:spacing w:before="40" w:after="240"/>
        <w:jc w:val="center"/>
      </w:pPr>
      <w:r>
        <w:rPr>
          <w:i/>
          <w:color w:val="64748B"/>
          <w:sz w:val="19"/>
        </w:rPr>
        <w:t>Fig. 7: Multi-Seed Training and Validation Loss Convergence Telemetry (Seed 42).</w:t>
      </w:r>
    </w:p>
    <w:p>
      <w:pPr>
        <w:keepNext/>
        <w:spacing w:before="280" w:after="80"/>
      </w:pPr>
      <w:r>
        <w:rPr>
          <w:b/>
          <w:color w:val="2C3E50"/>
          <w:sz w:val="26"/>
        </w:rPr>
        <w:t>4.5 Interactive Evaluation Dashboard &amp; Live Forecast Simulator</w:t>
      </w:r>
    </w:p>
    <w:p>
      <w:pPr>
        <w:spacing w:after="100" w:line="276" w:lineRule="auto"/>
      </w:pPr>
      <w:r>
        <w:t>To enable real-time operational evaluation, we developed an interactive Streamlit application (dashboard/app.py) backed by a verified inference simulator engine (dashboard/simulator_engine.py). The simulator supports: (1) Loading all 5 frozen Canonical V1 checkpoints; (2) Ingesting custom 168-hour CSV sequences or formatted text; (3) Synthetic scenario perturbation (e.g., +15% heatwave ramp, -10% industrial outage); (4) Real-time extraction of the 4D context vector; (5) Sub-millisecond generation of 24-hour trajectories; and (6) Bit-level parity verification against cached benchmark predictions.</w:t>
      </w:r>
    </w:p>
    <w:p>
      <w:pPr>
        <w:keepNext/>
        <w:spacing w:before="160" w:after="80"/>
        <w:jc w:val="center"/>
      </w:pPr>
      <w:r>
        <w:drawing>
          <wp:inline xmlns:a="http://schemas.openxmlformats.org/drawingml/2006/main" xmlns:pic="http://schemas.openxmlformats.org/drawingml/2006/picture">
            <wp:extent cx="5486400" cy="9405257"/>
            <wp:docPr id="8" name="Picture 8"/>
            <wp:cNvGraphicFramePr>
              <a:graphicFrameLocks noChangeAspect="1"/>
            </wp:cNvGraphicFramePr>
            <a:graphic>
              <a:graphicData uri="http://schemas.openxmlformats.org/drawingml/2006/picture">
                <pic:pic>
                  <pic:nvPicPr>
                    <pic:cNvPr id="0" name="fig_4_18_streamlit_forecast_full.png"/>
                    <pic:cNvPicPr/>
                  </pic:nvPicPr>
                  <pic:blipFill>
                    <a:blip r:embed="rId16"/>
                    <a:stretch>
                      <a:fillRect/>
                    </a:stretch>
                  </pic:blipFill>
                  <pic:spPr>
                    <a:xfrm>
                      <a:off x="0" y="0"/>
                      <a:ext cx="5486400" cy="9405257"/>
                    </a:xfrm>
                    <a:prstGeom prst="rect"/>
                  </pic:spPr>
                </pic:pic>
              </a:graphicData>
            </a:graphic>
          </wp:inline>
        </w:drawing>
      </w:r>
    </w:p>
    <w:p>
      <w:pPr>
        <w:spacing w:before="40" w:after="240"/>
        <w:jc w:val="center"/>
      </w:pPr>
      <w:r>
        <w:rPr>
          <w:i/>
          <w:color w:val="64748B"/>
          <w:sz w:val="19"/>
        </w:rPr>
        <w:t>Fig. 8: Interactive Streamlit Forecast Simulator UI Displaying 24h Predictions &amp; Routing Weights.</w:t>
      </w:r>
    </w:p>
    <w:p>
      <w:pPr>
        <w:keepNext/>
        <w:spacing w:before="360" w:after="120"/>
      </w:pPr>
      <w:r>
        <w:rPr>
          <w:b/>
          <w:color w:val="1B365D"/>
          <w:sz w:val="32"/>
        </w:rPr>
        <w:t>5. Results and Discussion</w:t>
      </w:r>
    </w:p>
    <w:p>
      <w:pPr>
        <w:keepNext/>
        <w:spacing w:before="280" w:after="80"/>
      </w:pPr>
      <w:r>
        <w:rPr>
          <w:b/>
          <w:color w:val="2C3E50"/>
          <w:sz w:val="26"/>
        </w:rPr>
        <w:t>5.1 Formal Evaluation Metrics</w:t>
      </w:r>
    </w:p>
    <w:p>
      <w:pPr>
        <w:spacing w:after="100" w:line="276" w:lineRule="auto"/>
      </w:pPr>
      <w:r>
        <w:t>Model performance is evaluated strictly on the unscaled original physical load scale (MW for PJM and UCI, kW for GEFCom) across five standard short-term load forecasting metrics: Mean Absolute Error (MAE), Mean Squared Error (MSE), Root Mean Squared Error (RMSE), Coefficient of Determination (R^2), and Mean Absolute Percentage Error (MAPE).</w:t>
      </w:r>
    </w:p>
    <w:p>
      <w:pPr>
        <w:keepNext/>
        <w:spacing w:before="280" w:after="80"/>
      </w:pPr>
      <w:r>
        <w:rPr>
          <w:b/>
          <w:color w:val="2C3E50"/>
          <w:sz w:val="26"/>
        </w:rPr>
        <w:t>5.2 Standalone Expert vs. Baseline Benchmark on Modern PJM</w:t>
      </w:r>
    </w:p>
    <w:p>
      <w:pPr>
        <w:spacing w:after="100" w:line="276" w:lineRule="auto"/>
      </w:pPr>
      <w:r>
        <w:t>Table 7 presents the primary comparative benchmark on the Modern PJM held-out test partition across all evaluated architectures. Values represent five-seed aggregate mean ± standard deviation.</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337"/>
        <w:gridCol w:w="1337"/>
        <w:gridCol w:w="1337"/>
        <w:gridCol w:w="1337"/>
        <w:gridCol w:w="1337"/>
        <w:gridCol w:w="1337"/>
        <w:gridCol w:w="1337"/>
      </w:tblGrid>
      <w:tr>
        <w:tc>
          <w:tcPr>
            <w:tcW w:type="dxa" w:w="2160"/>
            <w:shd w:fill="1B365D"/>
            <w:tcMar>
              <w:top w:w="100" w:type="dxa"/>
              <w:bottom w:w="100" w:type="dxa"/>
              <w:left w:w="120" w:type="dxa"/>
              <w:right w:w="120" w:type="dxa"/>
            </w:tcMar>
          </w:tcPr>
          <w:p>
            <w:pPr>
              <w:spacing w:after="0"/>
              <w:jc w:val="center"/>
            </w:pPr>
            <w:r>
              <w:rPr>
                <w:b/>
                <w:color w:val="FFFFFF"/>
                <w:sz w:val="19"/>
              </w:rPr>
              <w:t>Model Architecture</w:t>
            </w:r>
          </w:p>
        </w:tc>
        <w:tc>
          <w:tcPr>
            <w:tcW w:type="dxa" w:w="1872"/>
            <w:shd w:fill="1B365D"/>
            <w:tcMar>
              <w:top w:w="100" w:type="dxa"/>
              <w:bottom w:w="100" w:type="dxa"/>
              <w:left w:w="120" w:type="dxa"/>
              <w:right w:w="120" w:type="dxa"/>
            </w:tcMar>
          </w:tcPr>
          <w:p>
            <w:pPr>
              <w:spacing w:after="0"/>
              <w:jc w:val="center"/>
            </w:pPr>
            <w:r>
              <w:rPr>
                <w:b/>
                <w:color w:val="FFFFFF"/>
                <w:sz w:val="19"/>
              </w:rPr>
              <w:t>Model Role / Category</w:t>
            </w:r>
          </w:p>
        </w:tc>
        <w:tc>
          <w:tcPr>
            <w:tcW w:type="dxa" w:w="1152"/>
            <w:shd w:fill="1B365D"/>
            <w:tcMar>
              <w:top w:w="100" w:type="dxa"/>
              <w:bottom w:w="100" w:type="dxa"/>
              <w:left w:w="120" w:type="dxa"/>
              <w:right w:w="120" w:type="dxa"/>
            </w:tcMar>
          </w:tcPr>
          <w:p>
            <w:pPr>
              <w:spacing w:after="0"/>
              <w:jc w:val="center"/>
            </w:pPr>
            <w:r>
              <w:rPr>
                <w:b/>
                <w:color w:val="FFFFFF"/>
                <w:sz w:val="19"/>
              </w:rPr>
              <w:t>Total Params</w:t>
            </w:r>
          </w:p>
        </w:tc>
        <w:tc>
          <w:tcPr>
            <w:tcW w:type="dxa" w:w="1296"/>
            <w:shd w:fill="1B365D"/>
            <w:tcMar>
              <w:top w:w="100" w:type="dxa"/>
              <w:bottom w:w="100" w:type="dxa"/>
              <w:left w:w="120" w:type="dxa"/>
              <w:right w:w="120" w:type="dxa"/>
            </w:tcMar>
          </w:tcPr>
          <w:p>
            <w:pPr>
              <w:spacing w:after="0"/>
              <w:jc w:val="center"/>
            </w:pPr>
            <w:r>
              <w:rPr>
                <w:b/>
                <w:color w:val="FFFFFF"/>
                <w:sz w:val="19"/>
              </w:rPr>
              <w:t>MAE (MW)</w:t>
            </w:r>
          </w:p>
        </w:tc>
        <w:tc>
          <w:tcPr>
            <w:tcW w:type="dxa" w:w="1296"/>
            <w:shd w:fill="1B365D"/>
            <w:tcMar>
              <w:top w:w="100" w:type="dxa"/>
              <w:bottom w:w="100" w:type="dxa"/>
              <w:left w:w="120" w:type="dxa"/>
              <w:right w:w="120" w:type="dxa"/>
            </w:tcMar>
          </w:tcPr>
          <w:p>
            <w:pPr>
              <w:spacing w:after="0"/>
              <w:jc w:val="center"/>
            </w:pPr>
            <w:r>
              <w:rPr>
                <w:b/>
                <w:color w:val="FFFFFF"/>
                <w:sz w:val="19"/>
              </w:rPr>
              <w:t>RMSE (MW)</w:t>
            </w:r>
          </w:p>
        </w:tc>
        <w:tc>
          <w:tcPr>
            <w:tcW w:type="dxa" w:w="864"/>
            <w:shd w:fill="1B365D"/>
            <w:tcMar>
              <w:top w:w="100" w:type="dxa"/>
              <w:bottom w:w="100" w:type="dxa"/>
              <w:left w:w="120" w:type="dxa"/>
              <w:right w:w="120" w:type="dxa"/>
            </w:tcMar>
          </w:tcPr>
          <w:p>
            <w:pPr>
              <w:spacing w:after="0"/>
              <w:jc w:val="center"/>
            </w:pPr>
            <w:r>
              <w:rPr>
                <w:b/>
                <w:color w:val="FFFFFF"/>
                <w:sz w:val="19"/>
              </w:rPr>
              <w:t>R^2</w:t>
            </w:r>
          </w:p>
        </w:tc>
        <w:tc>
          <w:tcPr>
            <w:tcW w:type="dxa" w:w="864"/>
            <w:shd w:fill="1B365D"/>
            <w:tcMar>
              <w:top w:w="100" w:type="dxa"/>
              <w:bottom w:w="100" w:type="dxa"/>
              <w:left w:w="120" w:type="dxa"/>
              <w:right w:w="120" w:type="dxa"/>
            </w:tcMar>
          </w:tcPr>
          <w:p>
            <w:pPr>
              <w:spacing w:after="0"/>
              <w:jc w:val="center"/>
            </w:pPr>
            <w:r>
              <w:rPr>
                <w:b/>
                <w:color w:val="FFFFFF"/>
                <w:sz w:val="19"/>
              </w:rPr>
              <w:t>MAPE (%)</w:t>
            </w:r>
          </w:p>
        </w:tc>
      </w:tr>
      <w:tr>
        <w:tc>
          <w:tcPr>
            <w:tcW w:type="dxa" w:w="2160"/>
            <w:shd w:fill="FFFFFF"/>
            <w:tcMar>
              <w:top w:w="80" w:type="dxa"/>
              <w:bottom w:w="80" w:type="dxa"/>
              <w:left w:w="120" w:type="dxa"/>
              <w:right w:w="120" w:type="dxa"/>
            </w:tcMar>
          </w:tcPr>
          <w:p>
            <w:pPr>
              <w:spacing w:after="0"/>
              <w:jc w:val="left"/>
            </w:pPr>
            <w:r>
              <w:rPr>
                <w:color w:val="1E293B"/>
                <w:sz w:val="19"/>
              </w:rPr>
              <w:t>Persistence (Naive-24)</w:t>
            </w:r>
          </w:p>
        </w:tc>
        <w:tc>
          <w:tcPr>
            <w:tcW w:type="dxa" w:w="1872"/>
            <w:shd w:fill="FFFFFF"/>
            <w:tcMar>
              <w:top w:w="80" w:type="dxa"/>
              <w:bottom w:w="80" w:type="dxa"/>
              <w:left w:w="120" w:type="dxa"/>
              <w:right w:w="120" w:type="dxa"/>
            </w:tcMar>
          </w:tcPr>
          <w:p>
            <w:pPr>
              <w:spacing w:after="0"/>
              <w:jc w:val="left"/>
            </w:pPr>
            <w:r>
              <w:rPr>
                <w:color w:val="1E293B"/>
                <w:sz w:val="19"/>
              </w:rPr>
              <w:t>Non-parametric Baseline</w:t>
            </w:r>
          </w:p>
        </w:tc>
        <w:tc>
          <w:tcPr>
            <w:tcW w:type="dxa" w:w="1152"/>
            <w:shd w:fill="FFFFFF"/>
            <w:tcMar>
              <w:top w:w="80" w:type="dxa"/>
              <w:bottom w:w="80" w:type="dxa"/>
              <w:left w:w="120" w:type="dxa"/>
              <w:right w:w="120" w:type="dxa"/>
            </w:tcMar>
          </w:tcPr>
          <w:p>
            <w:pPr>
              <w:spacing w:after="0"/>
              <w:jc w:val="right"/>
            </w:pPr>
            <w:r>
              <w:rPr>
                <w:color w:val="1E293B"/>
                <w:sz w:val="19"/>
              </w:rPr>
              <w:t>0</w:t>
            </w:r>
          </w:p>
        </w:tc>
        <w:tc>
          <w:tcPr>
            <w:tcW w:type="dxa" w:w="1296"/>
            <w:shd w:fill="FFFFFF"/>
            <w:tcMar>
              <w:top w:w="80" w:type="dxa"/>
              <w:bottom w:w="80" w:type="dxa"/>
              <w:left w:w="120" w:type="dxa"/>
              <w:right w:w="120" w:type="dxa"/>
            </w:tcMar>
          </w:tcPr>
          <w:p>
            <w:pPr>
              <w:spacing w:after="0"/>
              <w:jc w:val="right"/>
            </w:pPr>
            <w:r>
              <w:rPr>
                <w:color w:val="1E293B"/>
                <w:sz w:val="19"/>
              </w:rPr>
              <w:t>285.19</w:t>
            </w:r>
          </w:p>
        </w:tc>
        <w:tc>
          <w:tcPr>
            <w:tcW w:type="dxa" w:w="1296"/>
            <w:shd w:fill="FFFFFF"/>
            <w:tcMar>
              <w:top w:w="80" w:type="dxa"/>
              <w:bottom w:w="80" w:type="dxa"/>
              <w:left w:w="120" w:type="dxa"/>
              <w:right w:w="120" w:type="dxa"/>
            </w:tcMar>
          </w:tcPr>
          <w:p>
            <w:pPr>
              <w:spacing w:after="0"/>
              <w:jc w:val="right"/>
            </w:pPr>
            <w:r>
              <w:rPr>
                <w:color w:val="1E293B"/>
                <w:sz w:val="19"/>
              </w:rPr>
              <w:t>396.12</w:t>
            </w:r>
          </w:p>
        </w:tc>
        <w:tc>
          <w:tcPr>
            <w:tcW w:type="dxa" w:w="864"/>
            <w:shd w:fill="FFFFFF"/>
            <w:tcMar>
              <w:top w:w="80" w:type="dxa"/>
              <w:bottom w:w="80" w:type="dxa"/>
              <w:left w:w="120" w:type="dxa"/>
              <w:right w:w="120" w:type="dxa"/>
            </w:tcMar>
          </w:tcPr>
          <w:p>
            <w:pPr>
              <w:spacing w:after="0"/>
              <w:jc w:val="right"/>
            </w:pPr>
            <w:r>
              <w:rPr>
                <w:color w:val="1E293B"/>
                <w:sz w:val="19"/>
              </w:rPr>
              <w:t>0.8201</w:t>
            </w:r>
          </w:p>
        </w:tc>
        <w:tc>
          <w:tcPr>
            <w:tcW w:type="dxa" w:w="864"/>
            <w:shd w:fill="FFFFFF"/>
            <w:tcMar>
              <w:top w:w="80" w:type="dxa"/>
              <w:bottom w:w="80" w:type="dxa"/>
              <w:left w:w="120" w:type="dxa"/>
              <w:right w:w="120" w:type="dxa"/>
            </w:tcMar>
          </w:tcPr>
          <w:p>
            <w:pPr>
              <w:spacing w:after="0"/>
              <w:jc w:val="right"/>
            </w:pPr>
            <w:r>
              <w:rPr>
                <w:color w:val="1E293B"/>
                <w:sz w:val="19"/>
              </w:rPr>
              <w:t>5.21%</w:t>
            </w:r>
          </w:p>
        </w:tc>
      </w:tr>
      <w:tr>
        <w:tc>
          <w:tcPr>
            <w:tcW w:type="dxa" w:w="2160"/>
            <w:shd w:fill="F8FAFC"/>
            <w:tcMar>
              <w:top w:w="80" w:type="dxa"/>
              <w:bottom w:w="80" w:type="dxa"/>
              <w:left w:w="120" w:type="dxa"/>
              <w:right w:w="120" w:type="dxa"/>
            </w:tcMar>
          </w:tcPr>
          <w:p>
            <w:pPr>
              <w:spacing w:after="0"/>
              <w:jc w:val="left"/>
            </w:pPr>
            <w:r>
              <w:rPr>
                <w:color w:val="1E293B"/>
                <w:sz w:val="19"/>
              </w:rPr>
              <w:t>CNN Expert Standalone</w:t>
            </w:r>
          </w:p>
        </w:tc>
        <w:tc>
          <w:tcPr>
            <w:tcW w:type="dxa" w:w="1872"/>
            <w:shd w:fill="F8FAFC"/>
            <w:tcMar>
              <w:top w:w="80" w:type="dxa"/>
              <w:bottom w:w="80" w:type="dxa"/>
              <w:left w:w="120" w:type="dxa"/>
              <w:right w:w="120" w:type="dxa"/>
            </w:tcMar>
          </w:tcPr>
          <w:p>
            <w:pPr>
              <w:spacing w:after="0"/>
              <w:jc w:val="left"/>
            </w:pPr>
            <w:r>
              <w:rPr>
                <w:color w:val="1E293B"/>
                <w:sz w:val="19"/>
              </w:rPr>
              <w:t>Ablation Baseline</w:t>
            </w:r>
          </w:p>
        </w:tc>
        <w:tc>
          <w:tcPr>
            <w:tcW w:type="dxa" w:w="1152"/>
            <w:shd w:fill="F8FAFC"/>
            <w:tcMar>
              <w:top w:w="80" w:type="dxa"/>
              <w:bottom w:w="80" w:type="dxa"/>
              <w:left w:w="120" w:type="dxa"/>
              <w:right w:w="120" w:type="dxa"/>
            </w:tcMar>
          </w:tcPr>
          <w:p>
            <w:pPr>
              <w:spacing w:after="0"/>
              <w:jc w:val="right"/>
            </w:pPr>
            <w:r>
              <w:rPr>
                <w:color w:val="1E293B"/>
                <w:sz w:val="19"/>
              </w:rPr>
              <w:t>27,400</w:t>
            </w:r>
          </w:p>
        </w:tc>
        <w:tc>
          <w:tcPr>
            <w:tcW w:type="dxa" w:w="1296"/>
            <w:shd w:fill="F8FAFC"/>
            <w:tcMar>
              <w:top w:w="80" w:type="dxa"/>
              <w:bottom w:w="80" w:type="dxa"/>
              <w:left w:w="120" w:type="dxa"/>
              <w:right w:w="120" w:type="dxa"/>
            </w:tcMar>
          </w:tcPr>
          <w:p>
            <w:pPr>
              <w:spacing w:after="0"/>
              <w:jc w:val="right"/>
            </w:pPr>
            <w:r>
              <w:rPr>
                <w:color w:val="1E293B"/>
                <w:sz w:val="19"/>
              </w:rPr>
              <w:t>432.08 ± 14.82</w:t>
            </w:r>
          </w:p>
        </w:tc>
        <w:tc>
          <w:tcPr>
            <w:tcW w:type="dxa" w:w="1296"/>
            <w:shd w:fill="F8FAFC"/>
            <w:tcMar>
              <w:top w:w="80" w:type="dxa"/>
              <w:bottom w:w="80" w:type="dxa"/>
              <w:left w:w="120" w:type="dxa"/>
              <w:right w:w="120" w:type="dxa"/>
            </w:tcMar>
          </w:tcPr>
          <w:p>
            <w:pPr>
              <w:spacing w:after="0"/>
              <w:jc w:val="right"/>
            </w:pPr>
            <w:r>
              <w:rPr>
                <w:color w:val="1E293B"/>
                <w:sz w:val="19"/>
              </w:rPr>
              <w:t>548.91 ± 16.20</w:t>
            </w:r>
          </w:p>
        </w:tc>
        <w:tc>
          <w:tcPr>
            <w:tcW w:type="dxa" w:w="864"/>
            <w:shd w:fill="F8FAFC"/>
            <w:tcMar>
              <w:top w:w="80" w:type="dxa"/>
              <w:bottom w:w="80" w:type="dxa"/>
              <w:left w:w="120" w:type="dxa"/>
              <w:right w:w="120" w:type="dxa"/>
            </w:tcMar>
          </w:tcPr>
          <w:p>
            <w:pPr>
              <w:spacing w:after="0"/>
              <w:jc w:val="right"/>
            </w:pPr>
            <w:r>
              <w:rPr>
                <w:color w:val="1E293B"/>
                <w:sz w:val="19"/>
              </w:rPr>
              <w:t>0.6542</w:t>
            </w:r>
          </w:p>
        </w:tc>
        <w:tc>
          <w:tcPr>
            <w:tcW w:type="dxa" w:w="864"/>
            <w:shd w:fill="F8FAFC"/>
            <w:tcMar>
              <w:top w:w="80" w:type="dxa"/>
              <w:bottom w:w="80" w:type="dxa"/>
              <w:left w:w="120" w:type="dxa"/>
              <w:right w:w="120" w:type="dxa"/>
            </w:tcMar>
          </w:tcPr>
          <w:p>
            <w:pPr>
              <w:spacing w:after="0"/>
              <w:jc w:val="right"/>
            </w:pPr>
            <w:r>
              <w:rPr>
                <w:color w:val="1E293B"/>
                <w:sz w:val="19"/>
              </w:rPr>
              <w:t>7.88%</w:t>
            </w:r>
          </w:p>
        </w:tc>
      </w:tr>
      <w:tr>
        <w:tc>
          <w:tcPr>
            <w:tcW w:type="dxa" w:w="2160"/>
            <w:shd w:fill="FFFFFF"/>
            <w:tcMar>
              <w:top w:w="80" w:type="dxa"/>
              <w:bottom w:w="80" w:type="dxa"/>
              <w:left w:w="120" w:type="dxa"/>
              <w:right w:w="120" w:type="dxa"/>
            </w:tcMar>
          </w:tcPr>
          <w:p>
            <w:pPr>
              <w:spacing w:after="0"/>
              <w:jc w:val="left"/>
            </w:pPr>
            <w:r>
              <w:rPr>
                <w:color w:val="1E293B"/>
                <w:sz w:val="19"/>
              </w:rPr>
              <w:t>LSTM Expert Standalone</w:t>
            </w:r>
          </w:p>
        </w:tc>
        <w:tc>
          <w:tcPr>
            <w:tcW w:type="dxa" w:w="1872"/>
            <w:shd w:fill="FFFFFF"/>
            <w:tcMar>
              <w:top w:w="80" w:type="dxa"/>
              <w:bottom w:w="80" w:type="dxa"/>
              <w:left w:w="120" w:type="dxa"/>
              <w:right w:w="120" w:type="dxa"/>
            </w:tcMar>
          </w:tcPr>
          <w:p>
            <w:pPr>
              <w:spacing w:after="0"/>
              <w:jc w:val="left"/>
            </w:pPr>
            <w:r>
              <w:rPr>
                <w:color w:val="1E293B"/>
                <w:sz w:val="19"/>
              </w:rPr>
              <w:t>Ablation Baseline</w:t>
            </w:r>
          </w:p>
        </w:tc>
        <w:tc>
          <w:tcPr>
            <w:tcW w:type="dxa" w:w="1152"/>
            <w:shd w:fill="FFFFFF"/>
            <w:tcMar>
              <w:top w:w="80" w:type="dxa"/>
              <w:bottom w:w="80" w:type="dxa"/>
              <w:left w:w="120" w:type="dxa"/>
              <w:right w:w="120" w:type="dxa"/>
            </w:tcMar>
          </w:tcPr>
          <w:p>
            <w:pPr>
              <w:spacing w:after="0"/>
              <w:jc w:val="right"/>
            </w:pPr>
            <w:r>
              <w:rPr>
                <w:color w:val="1E293B"/>
                <w:sz w:val="19"/>
              </w:rPr>
              <w:t>56,152</w:t>
            </w:r>
          </w:p>
        </w:tc>
        <w:tc>
          <w:tcPr>
            <w:tcW w:type="dxa" w:w="1296"/>
            <w:shd w:fill="FFFFFF"/>
            <w:tcMar>
              <w:top w:w="80" w:type="dxa"/>
              <w:bottom w:w="80" w:type="dxa"/>
              <w:left w:w="120" w:type="dxa"/>
              <w:right w:w="120" w:type="dxa"/>
            </w:tcMar>
          </w:tcPr>
          <w:p>
            <w:pPr>
              <w:spacing w:after="0"/>
              <w:jc w:val="right"/>
            </w:pPr>
            <w:r>
              <w:rPr>
                <w:color w:val="1E293B"/>
                <w:sz w:val="19"/>
              </w:rPr>
              <w:t>291.73 ± 8.45</w:t>
            </w:r>
          </w:p>
        </w:tc>
        <w:tc>
          <w:tcPr>
            <w:tcW w:type="dxa" w:w="1296"/>
            <w:shd w:fill="FFFFFF"/>
            <w:tcMar>
              <w:top w:w="80" w:type="dxa"/>
              <w:bottom w:w="80" w:type="dxa"/>
              <w:left w:w="120" w:type="dxa"/>
              <w:right w:w="120" w:type="dxa"/>
            </w:tcMar>
          </w:tcPr>
          <w:p>
            <w:pPr>
              <w:spacing w:after="0"/>
              <w:jc w:val="right"/>
            </w:pPr>
            <w:r>
              <w:rPr>
                <w:color w:val="1E293B"/>
                <w:sz w:val="19"/>
              </w:rPr>
              <w:t>382.14 ± 9.12</w:t>
            </w:r>
          </w:p>
        </w:tc>
        <w:tc>
          <w:tcPr>
            <w:tcW w:type="dxa" w:w="864"/>
            <w:shd w:fill="FFFFFF"/>
            <w:tcMar>
              <w:top w:w="80" w:type="dxa"/>
              <w:bottom w:w="80" w:type="dxa"/>
              <w:left w:w="120" w:type="dxa"/>
              <w:right w:w="120" w:type="dxa"/>
            </w:tcMar>
          </w:tcPr>
          <w:p>
            <w:pPr>
              <w:spacing w:after="0"/>
              <w:jc w:val="right"/>
            </w:pPr>
            <w:r>
              <w:rPr>
                <w:color w:val="1E293B"/>
                <w:sz w:val="19"/>
              </w:rPr>
              <w:t>0.8324</w:t>
            </w:r>
          </w:p>
        </w:tc>
        <w:tc>
          <w:tcPr>
            <w:tcW w:type="dxa" w:w="864"/>
            <w:shd w:fill="FFFFFF"/>
            <w:tcMar>
              <w:top w:w="80" w:type="dxa"/>
              <w:bottom w:w="80" w:type="dxa"/>
              <w:left w:w="120" w:type="dxa"/>
              <w:right w:w="120" w:type="dxa"/>
            </w:tcMar>
          </w:tcPr>
          <w:p>
            <w:pPr>
              <w:spacing w:after="0"/>
              <w:jc w:val="right"/>
            </w:pPr>
            <w:r>
              <w:rPr>
                <w:color w:val="1E293B"/>
                <w:sz w:val="19"/>
              </w:rPr>
              <w:t>5.34%</w:t>
            </w:r>
          </w:p>
        </w:tc>
      </w:tr>
      <w:tr>
        <w:tc>
          <w:tcPr>
            <w:tcW w:type="dxa" w:w="2160"/>
            <w:shd w:fill="F8FAFC"/>
            <w:tcMar>
              <w:top w:w="80" w:type="dxa"/>
              <w:bottom w:w="80" w:type="dxa"/>
              <w:left w:w="120" w:type="dxa"/>
              <w:right w:w="120" w:type="dxa"/>
            </w:tcMar>
          </w:tcPr>
          <w:p>
            <w:pPr>
              <w:spacing w:after="0"/>
              <w:jc w:val="left"/>
            </w:pPr>
            <w:r>
              <w:rPr>
                <w:color w:val="1E293B"/>
                <w:sz w:val="19"/>
              </w:rPr>
              <w:t>TCN Expert Standalone</w:t>
            </w:r>
          </w:p>
        </w:tc>
        <w:tc>
          <w:tcPr>
            <w:tcW w:type="dxa" w:w="1872"/>
            <w:shd w:fill="F8FAFC"/>
            <w:tcMar>
              <w:top w:w="80" w:type="dxa"/>
              <w:bottom w:w="80" w:type="dxa"/>
              <w:left w:w="120" w:type="dxa"/>
              <w:right w:w="120" w:type="dxa"/>
            </w:tcMar>
          </w:tcPr>
          <w:p>
            <w:pPr>
              <w:spacing w:after="0"/>
              <w:jc w:val="left"/>
            </w:pPr>
            <w:r>
              <w:rPr>
                <w:color w:val="1E293B"/>
                <w:sz w:val="19"/>
              </w:rPr>
              <w:t>Ablation Baseline</w:t>
            </w:r>
          </w:p>
        </w:tc>
        <w:tc>
          <w:tcPr>
            <w:tcW w:type="dxa" w:w="1152"/>
            <w:shd w:fill="F8FAFC"/>
            <w:tcMar>
              <w:top w:w="80" w:type="dxa"/>
              <w:bottom w:w="80" w:type="dxa"/>
              <w:left w:w="120" w:type="dxa"/>
              <w:right w:w="120" w:type="dxa"/>
            </w:tcMar>
          </w:tcPr>
          <w:p>
            <w:pPr>
              <w:spacing w:after="0"/>
              <w:jc w:val="right"/>
            </w:pPr>
            <w:r>
              <w:rPr>
                <w:color w:val="1E293B"/>
                <w:sz w:val="19"/>
              </w:rPr>
              <w:t>36,952</w:t>
            </w:r>
          </w:p>
        </w:tc>
        <w:tc>
          <w:tcPr>
            <w:tcW w:type="dxa" w:w="1296"/>
            <w:shd w:fill="F8FAFC"/>
            <w:tcMar>
              <w:top w:w="80" w:type="dxa"/>
              <w:bottom w:w="80" w:type="dxa"/>
              <w:left w:w="120" w:type="dxa"/>
              <w:right w:w="120" w:type="dxa"/>
            </w:tcMar>
          </w:tcPr>
          <w:p>
            <w:pPr>
              <w:spacing w:after="0"/>
              <w:jc w:val="right"/>
            </w:pPr>
            <w:r>
              <w:rPr>
                <w:color w:val="1E293B"/>
                <w:sz w:val="19"/>
              </w:rPr>
              <w:t>259.33 ± 6.78</w:t>
            </w:r>
          </w:p>
        </w:tc>
        <w:tc>
          <w:tcPr>
            <w:tcW w:type="dxa" w:w="1296"/>
            <w:shd w:fill="F8FAFC"/>
            <w:tcMar>
              <w:top w:w="80" w:type="dxa"/>
              <w:bottom w:w="80" w:type="dxa"/>
              <w:left w:w="120" w:type="dxa"/>
              <w:right w:w="120" w:type="dxa"/>
            </w:tcMar>
          </w:tcPr>
          <w:p>
            <w:pPr>
              <w:spacing w:after="0"/>
              <w:jc w:val="right"/>
            </w:pPr>
            <w:r>
              <w:rPr>
                <w:color w:val="1E293B"/>
                <w:sz w:val="19"/>
              </w:rPr>
              <w:t>344.25 ± 7.50</w:t>
            </w:r>
          </w:p>
        </w:tc>
        <w:tc>
          <w:tcPr>
            <w:tcW w:type="dxa" w:w="864"/>
            <w:shd w:fill="F8FAFC"/>
            <w:tcMar>
              <w:top w:w="80" w:type="dxa"/>
              <w:bottom w:w="80" w:type="dxa"/>
              <w:left w:w="120" w:type="dxa"/>
              <w:right w:w="120" w:type="dxa"/>
            </w:tcMar>
          </w:tcPr>
          <w:p>
            <w:pPr>
              <w:spacing w:after="0"/>
              <w:jc w:val="right"/>
            </w:pPr>
            <w:r>
              <w:rPr>
                <w:color w:val="1E293B"/>
                <w:sz w:val="19"/>
              </w:rPr>
              <w:t>0.8641</w:t>
            </w:r>
          </w:p>
        </w:tc>
        <w:tc>
          <w:tcPr>
            <w:tcW w:type="dxa" w:w="864"/>
            <w:shd w:fill="F8FAFC"/>
            <w:tcMar>
              <w:top w:w="80" w:type="dxa"/>
              <w:bottom w:w="80" w:type="dxa"/>
              <w:left w:w="120" w:type="dxa"/>
              <w:right w:w="120" w:type="dxa"/>
            </w:tcMar>
          </w:tcPr>
          <w:p>
            <w:pPr>
              <w:spacing w:after="0"/>
              <w:jc w:val="right"/>
            </w:pPr>
            <w:r>
              <w:rPr>
                <w:color w:val="1E293B"/>
                <w:sz w:val="19"/>
              </w:rPr>
              <w:t>4.74%</w:t>
            </w:r>
          </w:p>
        </w:tc>
      </w:tr>
      <w:tr>
        <w:tc>
          <w:tcPr>
            <w:tcW w:type="dxa" w:w="2160"/>
            <w:shd w:fill="FFFFFF"/>
            <w:tcMar>
              <w:top w:w="80" w:type="dxa"/>
              <w:bottom w:w="80" w:type="dxa"/>
              <w:left w:w="120" w:type="dxa"/>
              <w:right w:w="120" w:type="dxa"/>
            </w:tcMar>
          </w:tcPr>
          <w:p>
            <w:pPr>
              <w:spacing w:after="0"/>
              <w:jc w:val="left"/>
            </w:pPr>
            <w:r>
              <w:rPr>
                <w:color w:val="1E293B"/>
                <w:sz w:val="19"/>
              </w:rPr>
              <w:t>Static Equal Ensemble</w:t>
            </w:r>
          </w:p>
        </w:tc>
        <w:tc>
          <w:tcPr>
            <w:tcW w:type="dxa" w:w="1872"/>
            <w:shd w:fill="FFFFFF"/>
            <w:tcMar>
              <w:top w:w="80" w:type="dxa"/>
              <w:bottom w:w="80" w:type="dxa"/>
              <w:left w:w="120" w:type="dxa"/>
              <w:right w:w="120" w:type="dxa"/>
            </w:tcMar>
          </w:tcPr>
          <w:p>
            <w:pPr>
              <w:spacing w:after="0"/>
              <w:jc w:val="left"/>
            </w:pPr>
            <w:r>
              <w:rPr>
                <w:color w:val="1E293B"/>
                <w:sz w:val="19"/>
              </w:rPr>
              <w:t>Ensemble Baseline (1/3 each)</w:t>
            </w:r>
          </w:p>
        </w:tc>
        <w:tc>
          <w:tcPr>
            <w:tcW w:type="dxa" w:w="1152"/>
            <w:shd w:fill="FFFFFF"/>
            <w:tcMar>
              <w:top w:w="80" w:type="dxa"/>
              <w:bottom w:w="80" w:type="dxa"/>
              <w:left w:w="120" w:type="dxa"/>
              <w:right w:w="120" w:type="dxa"/>
            </w:tcMar>
          </w:tcPr>
          <w:p>
            <w:pPr>
              <w:spacing w:after="0"/>
              <w:jc w:val="right"/>
            </w:pPr>
            <w:r>
              <w:rPr>
                <w:color w:val="1E293B"/>
                <w:sz w:val="19"/>
              </w:rPr>
              <w:t>120,504</w:t>
            </w:r>
          </w:p>
        </w:tc>
        <w:tc>
          <w:tcPr>
            <w:tcW w:type="dxa" w:w="1296"/>
            <w:shd w:fill="FFFFFF"/>
            <w:tcMar>
              <w:top w:w="80" w:type="dxa"/>
              <w:bottom w:w="80" w:type="dxa"/>
              <w:left w:w="120" w:type="dxa"/>
              <w:right w:w="120" w:type="dxa"/>
            </w:tcMar>
          </w:tcPr>
          <w:p>
            <w:pPr>
              <w:spacing w:after="0"/>
              <w:jc w:val="right"/>
            </w:pPr>
            <w:r>
              <w:rPr>
                <w:color w:val="1E293B"/>
                <w:sz w:val="19"/>
              </w:rPr>
              <w:t>279.83 ± 5.12</w:t>
            </w:r>
          </w:p>
        </w:tc>
        <w:tc>
          <w:tcPr>
            <w:tcW w:type="dxa" w:w="1296"/>
            <w:shd w:fill="FFFFFF"/>
            <w:tcMar>
              <w:top w:w="80" w:type="dxa"/>
              <w:bottom w:w="80" w:type="dxa"/>
              <w:left w:w="120" w:type="dxa"/>
              <w:right w:w="120" w:type="dxa"/>
            </w:tcMar>
          </w:tcPr>
          <w:p>
            <w:pPr>
              <w:spacing w:after="0"/>
              <w:jc w:val="right"/>
            </w:pPr>
            <w:r>
              <w:rPr>
                <w:color w:val="1E293B"/>
                <w:sz w:val="19"/>
              </w:rPr>
              <w:t>368.45 ± 5.90</w:t>
            </w:r>
          </w:p>
        </w:tc>
        <w:tc>
          <w:tcPr>
            <w:tcW w:type="dxa" w:w="864"/>
            <w:shd w:fill="FFFFFF"/>
            <w:tcMar>
              <w:top w:w="80" w:type="dxa"/>
              <w:bottom w:w="80" w:type="dxa"/>
              <w:left w:w="120" w:type="dxa"/>
              <w:right w:w="120" w:type="dxa"/>
            </w:tcMar>
          </w:tcPr>
          <w:p>
            <w:pPr>
              <w:spacing w:after="0"/>
              <w:jc w:val="right"/>
            </w:pPr>
            <w:r>
              <w:rPr>
                <w:color w:val="1E293B"/>
                <w:sz w:val="19"/>
              </w:rPr>
              <w:t>0.8447</w:t>
            </w:r>
          </w:p>
        </w:tc>
        <w:tc>
          <w:tcPr>
            <w:tcW w:type="dxa" w:w="864"/>
            <w:shd w:fill="FFFFFF"/>
            <w:tcMar>
              <w:top w:w="80" w:type="dxa"/>
              <w:bottom w:w="80" w:type="dxa"/>
              <w:left w:w="120" w:type="dxa"/>
              <w:right w:w="120" w:type="dxa"/>
            </w:tcMar>
          </w:tcPr>
          <w:p>
            <w:pPr>
              <w:spacing w:after="0"/>
              <w:jc w:val="right"/>
            </w:pPr>
            <w:r>
              <w:rPr>
                <w:color w:val="1E293B"/>
                <w:sz w:val="19"/>
              </w:rPr>
              <w:t>5.11%</w:t>
            </w:r>
          </w:p>
        </w:tc>
      </w:tr>
      <w:tr>
        <w:tc>
          <w:tcPr>
            <w:tcW w:type="dxa" w:w="2160"/>
            <w:shd w:fill="F8FAFC"/>
            <w:tcMar>
              <w:top w:w="80" w:type="dxa"/>
              <w:bottom w:w="80" w:type="dxa"/>
              <w:left w:w="120" w:type="dxa"/>
              <w:right w:w="120" w:type="dxa"/>
            </w:tcMar>
          </w:tcPr>
          <w:p>
            <w:pPr>
              <w:spacing w:after="0"/>
              <w:jc w:val="left"/>
            </w:pPr>
            <w:r>
              <w:rPr>
                <w:color w:val="1E293B"/>
                <w:sz w:val="19"/>
              </w:rPr>
              <w:t>Standard Input MoE</w:t>
            </w:r>
          </w:p>
        </w:tc>
        <w:tc>
          <w:tcPr>
            <w:tcW w:type="dxa" w:w="1872"/>
            <w:shd w:fill="F8FAFC"/>
            <w:tcMar>
              <w:top w:w="80" w:type="dxa"/>
              <w:bottom w:w="80" w:type="dxa"/>
              <w:left w:w="120" w:type="dxa"/>
              <w:right w:w="120" w:type="dxa"/>
            </w:tcMar>
          </w:tcPr>
          <w:p>
            <w:pPr>
              <w:spacing w:after="0"/>
              <w:jc w:val="left"/>
            </w:pPr>
            <w:r>
              <w:rPr>
                <w:color w:val="1E293B"/>
                <w:sz w:val="19"/>
              </w:rPr>
              <w:t>Architectural Baseline</w:t>
            </w:r>
          </w:p>
        </w:tc>
        <w:tc>
          <w:tcPr>
            <w:tcW w:type="dxa" w:w="1152"/>
            <w:shd w:fill="F8FAFC"/>
            <w:tcMar>
              <w:top w:w="80" w:type="dxa"/>
              <w:bottom w:w="80" w:type="dxa"/>
              <w:left w:w="120" w:type="dxa"/>
              <w:right w:w="120" w:type="dxa"/>
            </w:tcMar>
          </w:tcPr>
          <w:p>
            <w:pPr>
              <w:spacing w:after="0"/>
              <w:jc w:val="right"/>
            </w:pPr>
            <w:r>
              <w:rPr>
                <w:color w:val="1E293B"/>
                <w:sz w:val="19"/>
              </w:rPr>
              <w:t>121,531</w:t>
            </w:r>
          </w:p>
        </w:tc>
        <w:tc>
          <w:tcPr>
            <w:tcW w:type="dxa" w:w="1296"/>
            <w:shd w:fill="F8FAFC"/>
            <w:tcMar>
              <w:top w:w="80" w:type="dxa"/>
              <w:bottom w:w="80" w:type="dxa"/>
              <w:left w:w="120" w:type="dxa"/>
              <w:right w:w="120" w:type="dxa"/>
            </w:tcMar>
          </w:tcPr>
          <w:p>
            <w:pPr>
              <w:spacing w:after="0"/>
              <w:jc w:val="right"/>
            </w:pPr>
            <w:r>
              <w:rPr>
                <w:color w:val="1E293B"/>
                <w:sz w:val="19"/>
              </w:rPr>
              <w:t>289.45 ± 9.34</w:t>
            </w:r>
          </w:p>
        </w:tc>
        <w:tc>
          <w:tcPr>
            <w:tcW w:type="dxa" w:w="1296"/>
            <w:shd w:fill="F8FAFC"/>
            <w:tcMar>
              <w:top w:w="80" w:type="dxa"/>
              <w:bottom w:w="80" w:type="dxa"/>
              <w:left w:w="120" w:type="dxa"/>
              <w:right w:w="120" w:type="dxa"/>
            </w:tcMar>
          </w:tcPr>
          <w:p>
            <w:pPr>
              <w:spacing w:after="0"/>
              <w:jc w:val="right"/>
            </w:pPr>
            <w:r>
              <w:rPr>
                <w:color w:val="1E293B"/>
                <w:sz w:val="19"/>
              </w:rPr>
              <w:t>379.62 ± 10.15</w:t>
            </w:r>
          </w:p>
        </w:tc>
        <w:tc>
          <w:tcPr>
            <w:tcW w:type="dxa" w:w="864"/>
            <w:shd w:fill="F8FAFC"/>
            <w:tcMar>
              <w:top w:w="80" w:type="dxa"/>
              <w:bottom w:w="80" w:type="dxa"/>
              <w:left w:w="120" w:type="dxa"/>
              <w:right w:w="120" w:type="dxa"/>
            </w:tcMar>
          </w:tcPr>
          <w:p>
            <w:pPr>
              <w:spacing w:after="0"/>
              <w:jc w:val="right"/>
            </w:pPr>
            <w:r>
              <w:rPr>
                <w:color w:val="1E293B"/>
                <w:sz w:val="19"/>
              </w:rPr>
              <w:t>0.8346</w:t>
            </w:r>
          </w:p>
        </w:tc>
        <w:tc>
          <w:tcPr>
            <w:tcW w:type="dxa" w:w="864"/>
            <w:shd w:fill="F8FAFC"/>
            <w:tcMar>
              <w:top w:w="80" w:type="dxa"/>
              <w:bottom w:w="80" w:type="dxa"/>
              <w:left w:w="120" w:type="dxa"/>
              <w:right w:w="120" w:type="dxa"/>
            </w:tcMar>
          </w:tcPr>
          <w:p>
            <w:pPr>
              <w:spacing w:after="0"/>
              <w:jc w:val="right"/>
            </w:pPr>
            <w:r>
              <w:rPr>
                <w:color w:val="1E293B"/>
                <w:sz w:val="19"/>
              </w:rPr>
              <w:t>5.29%</w:t>
            </w:r>
          </w:p>
        </w:tc>
      </w:tr>
      <w:tr>
        <w:tc>
          <w:tcPr>
            <w:tcW w:type="dxa" w:w="2160"/>
            <w:shd w:fill="FFFFFF"/>
            <w:tcMar>
              <w:top w:w="80" w:type="dxa"/>
              <w:bottom w:w="80" w:type="dxa"/>
              <w:left w:w="120" w:type="dxa"/>
              <w:right w:w="120" w:type="dxa"/>
            </w:tcMar>
          </w:tcPr>
          <w:p>
            <w:pPr>
              <w:spacing w:after="0"/>
              <w:jc w:val="left"/>
            </w:pPr>
            <w:r>
              <w:rPr>
                <w:color w:val="1E293B"/>
                <w:sz w:val="19"/>
              </w:rPr>
              <w:t>CAEG-Net (No Rec Error)</w:t>
            </w:r>
          </w:p>
        </w:tc>
        <w:tc>
          <w:tcPr>
            <w:tcW w:type="dxa" w:w="1872"/>
            <w:shd w:fill="FFFFFF"/>
            <w:tcMar>
              <w:top w:w="80" w:type="dxa"/>
              <w:bottom w:w="80" w:type="dxa"/>
              <w:left w:w="120" w:type="dxa"/>
              <w:right w:w="120" w:type="dxa"/>
            </w:tcMar>
          </w:tcPr>
          <w:p>
            <w:pPr>
              <w:spacing w:after="0"/>
              <w:jc w:val="left"/>
            </w:pPr>
            <w:r>
              <w:rPr>
                <w:color w:val="1E293B"/>
                <w:sz w:val="19"/>
              </w:rPr>
              <w:t>Context Ablation (3D Ctx)</w:t>
            </w:r>
          </w:p>
        </w:tc>
        <w:tc>
          <w:tcPr>
            <w:tcW w:type="dxa" w:w="1152"/>
            <w:shd w:fill="FFFFFF"/>
            <w:tcMar>
              <w:top w:w="80" w:type="dxa"/>
              <w:bottom w:w="80" w:type="dxa"/>
              <w:left w:w="120" w:type="dxa"/>
              <w:right w:w="120" w:type="dxa"/>
            </w:tcMar>
          </w:tcPr>
          <w:p>
            <w:pPr>
              <w:spacing w:after="0"/>
              <w:jc w:val="right"/>
            </w:pPr>
            <w:r>
              <w:rPr>
                <w:color w:val="1E293B"/>
                <w:sz w:val="19"/>
              </w:rPr>
              <w:t>121,515</w:t>
            </w:r>
          </w:p>
        </w:tc>
        <w:tc>
          <w:tcPr>
            <w:tcW w:type="dxa" w:w="1296"/>
            <w:shd w:fill="FFFFFF"/>
            <w:tcMar>
              <w:top w:w="80" w:type="dxa"/>
              <w:bottom w:w="80" w:type="dxa"/>
              <w:left w:w="120" w:type="dxa"/>
              <w:right w:w="120" w:type="dxa"/>
            </w:tcMar>
          </w:tcPr>
          <w:p>
            <w:pPr>
              <w:spacing w:after="0"/>
              <w:jc w:val="right"/>
            </w:pPr>
            <w:r>
              <w:rPr>
                <w:color w:val="1E293B"/>
                <w:sz w:val="19"/>
              </w:rPr>
              <w:t>257.82 ± 7.21</w:t>
            </w:r>
          </w:p>
        </w:tc>
        <w:tc>
          <w:tcPr>
            <w:tcW w:type="dxa" w:w="1296"/>
            <w:shd w:fill="FFFFFF"/>
            <w:tcMar>
              <w:top w:w="80" w:type="dxa"/>
              <w:bottom w:w="80" w:type="dxa"/>
              <w:left w:w="120" w:type="dxa"/>
              <w:right w:w="120" w:type="dxa"/>
            </w:tcMar>
          </w:tcPr>
          <w:p>
            <w:pPr>
              <w:spacing w:after="0"/>
              <w:jc w:val="right"/>
            </w:pPr>
            <w:r>
              <w:rPr>
                <w:color w:val="1E293B"/>
                <w:sz w:val="19"/>
              </w:rPr>
              <w:t>342.18 ± 8.10</w:t>
            </w:r>
          </w:p>
        </w:tc>
        <w:tc>
          <w:tcPr>
            <w:tcW w:type="dxa" w:w="864"/>
            <w:shd w:fill="FFFFFF"/>
            <w:tcMar>
              <w:top w:w="80" w:type="dxa"/>
              <w:bottom w:w="80" w:type="dxa"/>
              <w:left w:w="120" w:type="dxa"/>
              <w:right w:w="120" w:type="dxa"/>
            </w:tcMar>
          </w:tcPr>
          <w:p>
            <w:pPr>
              <w:spacing w:after="0"/>
              <w:jc w:val="right"/>
            </w:pPr>
            <w:r>
              <w:rPr>
                <w:color w:val="1E293B"/>
                <w:sz w:val="19"/>
              </w:rPr>
              <w:t>0.8658</w:t>
            </w:r>
          </w:p>
        </w:tc>
        <w:tc>
          <w:tcPr>
            <w:tcW w:type="dxa" w:w="864"/>
            <w:shd w:fill="FFFFFF"/>
            <w:tcMar>
              <w:top w:w="80" w:type="dxa"/>
              <w:bottom w:w="80" w:type="dxa"/>
              <w:left w:w="120" w:type="dxa"/>
              <w:right w:w="120" w:type="dxa"/>
            </w:tcMar>
          </w:tcPr>
          <w:p>
            <w:pPr>
              <w:spacing w:after="0"/>
              <w:jc w:val="right"/>
            </w:pPr>
            <w:r>
              <w:rPr>
                <w:color w:val="1E293B"/>
                <w:sz w:val="19"/>
              </w:rPr>
              <w:t>4.71%</w:t>
            </w:r>
          </w:p>
        </w:tc>
      </w:tr>
      <w:tr>
        <w:tc>
          <w:tcPr>
            <w:tcW w:type="dxa" w:w="2160"/>
            <w:shd w:fill="F8FAFC"/>
            <w:tcMar>
              <w:top w:w="80" w:type="dxa"/>
              <w:bottom w:w="80" w:type="dxa"/>
              <w:left w:w="120" w:type="dxa"/>
              <w:right w:w="120" w:type="dxa"/>
            </w:tcMar>
          </w:tcPr>
          <w:p>
            <w:pPr>
              <w:spacing w:after="0"/>
              <w:jc w:val="left"/>
            </w:pPr>
            <w:r>
              <w:rPr>
                <w:color w:val="1E293B"/>
                <w:sz w:val="19"/>
              </w:rPr>
              <w:t>Canonical CAEG-Net V1</w:t>
            </w:r>
          </w:p>
        </w:tc>
        <w:tc>
          <w:tcPr>
            <w:tcW w:type="dxa" w:w="1872"/>
            <w:shd w:fill="F8FAFC"/>
            <w:tcMar>
              <w:top w:w="80" w:type="dxa"/>
              <w:bottom w:w="80" w:type="dxa"/>
              <w:left w:w="120" w:type="dxa"/>
              <w:right w:w="120" w:type="dxa"/>
            </w:tcMar>
          </w:tcPr>
          <w:p>
            <w:pPr>
              <w:spacing w:after="0"/>
              <w:jc w:val="left"/>
            </w:pPr>
            <w:r>
              <w:rPr>
                <w:color w:val="1E293B"/>
                <w:sz w:val="19"/>
              </w:rPr>
              <w:t>Proposed Full Model (4D Ctx)</w:t>
            </w:r>
          </w:p>
        </w:tc>
        <w:tc>
          <w:tcPr>
            <w:tcW w:type="dxa" w:w="1152"/>
            <w:shd w:fill="F8FAFC"/>
            <w:tcMar>
              <w:top w:w="80" w:type="dxa"/>
              <w:bottom w:w="80" w:type="dxa"/>
              <w:left w:w="120" w:type="dxa"/>
              <w:right w:w="120" w:type="dxa"/>
            </w:tcMar>
          </w:tcPr>
          <w:p>
            <w:pPr>
              <w:spacing w:after="0"/>
              <w:jc w:val="right"/>
            </w:pPr>
            <w:r>
              <w:rPr>
                <w:color w:val="1E293B"/>
                <w:sz w:val="19"/>
              </w:rPr>
              <w:t>121,531</w:t>
            </w:r>
          </w:p>
        </w:tc>
        <w:tc>
          <w:tcPr>
            <w:tcW w:type="dxa" w:w="1296"/>
            <w:shd w:fill="F8FAFC"/>
            <w:tcMar>
              <w:top w:w="80" w:type="dxa"/>
              <w:bottom w:w="80" w:type="dxa"/>
              <w:left w:w="120" w:type="dxa"/>
              <w:right w:w="120" w:type="dxa"/>
            </w:tcMar>
          </w:tcPr>
          <w:p>
            <w:pPr>
              <w:spacing w:after="0"/>
              <w:jc w:val="right"/>
            </w:pPr>
            <w:r>
              <w:rPr>
                <w:color w:val="1E293B"/>
                <w:sz w:val="19"/>
              </w:rPr>
              <w:t>250.97 ± 10.69</w:t>
            </w:r>
          </w:p>
        </w:tc>
        <w:tc>
          <w:tcPr>
            <w:tcW w:type="dxa" w:w="1296"/>
            <w:shd w:fill="F8FAFC"/>
            <w:tcMar>
              <w:top w:w="80" w:type="dxa"/>
              <w:bottom w:w="80" w:type="dxa"/>
              <w:left w:w="120" w:type="dxa"/>
              <w:right w:w="120" w:type="dxa"/>
            </w:tcMar>
          </w:tcPr>
          <w:p>
            <w:pPr>
              <w:spacing w:after="0"/>
              <w:jc w:val="right"/>
            </w:pPr>
            <w:r>
              <w:rPr>
                <w:color w:val="1E293B"/>
                <w:sz w:val="19"/>
              </w:rPr>
              <w:t>335.38 ± 11.20</w:t>
            </w:r>
          </w:p>
        </w:tc>
        <w:tc>
          <w:tcPr>
            <w:tcW w:type="dxa" w:w="864"/>
            <w:shd w:fill="F8FAFC"/>
            <w:tcMar>
              <w:top w:w="80" w:type="dxa"/>
              <w:bottom w:w="80" w:type="dxa"/>
              <w:left w:w="120" w:type="dxa"/>
              <w:right w:w="120" w:type="dxa"/>
            </w:tcMar>
          </w:tcPr>
          <w:p>
            <w:pPr>
              <w:spacing w:after="0"/>
              <w:jc w:val="right"/>
            </w:pPr>
            <w:r>
              <w:rPr>
                <w:color w:val="1E293B"/>
                <w:sz w:val="19"/>
              </w:rPr>
              <w:t>0.8714</w:t>
            </w:r>
          </w:p>
        </w:tc>
        <w:tc>
          <w:tcPr>
            <w:tcW w:type="dxa" w:w="864"/>
            <w:shd w:fill="F8FAFC"/>
            <w:tcMar>
              <w:top w:w="80" w:type="dxa"/>
              <w:bottom w:w="80" w:type="dxa"/>
              <w:left w:w="120" w:type="dxa"/>
              <w:right w:w="120" w:type="dxa"/>
            </w:tcMar>
          </w:tcPr>
          <w:p>
            <w:pPr>
              <w:spacing w:after="0"/>
              <w:jc w:val="right"/>
            </w:pPr>
            <w:r>
              <w:rPr>
                <w:color w:val="1E293B"/>
                <w:sz w:val="19"/>
              </w:rPr>
              <w:t>4.58%</w:t>
            </w:r>
          </w:p>
        </w:tc>
      </w:tr>
    </w:tbl>
    <w:p>
      <w:pPr>
        <w:spacing w:after="160"/>
      </w:pPr>
    </w:p>
    <w:p>
      <w:pPr>
        <w:keepNext/>
        <w:spacing w:before="160" w:after="80"/>
        <w:jc w:val="center"/>
      </w:pPr>
      <w:r>
        <w:drawing>
          <wp:inline xmlns:a="http://schemas.openxmlformats.org/drawingml/2006/main" xmlns:pic="http://schemas.openxmlformats.org/drawingml/2006/picture">
            <wp:extent cx="5486400" cy="2084859"/>
            <wp:docPr id="9" name="Picture 9"/>
            <wp:cNvGraphicFramePr>
              <a:graphicFrameLocks noChangeAspect="1"/>
            </wp:cNvGraphicFramePr>
            <a:graphic>
              <a:graphicData uri="http://schemas.openxmlformats.org/drawingml/2006/picture">
                <pic:pic>
                  <pic:nvPicPr>
                    <pic:cNvPr id="0" name="fig_4_13_five_seed_mae.png"/>
                    <pic:cNvPicPr/>
                  </pic:nvPicPr>
                  <pic:blipFill>
                    <a:blip r:embed="rId17"/>
                    <a:stretch>
                      <a:fillRect/>
                    </a:stretch>
                  </pic:blipFill>
                  <pic:spPr>
                    <a:xfrm>
                      <a:off x="0" y="0"/>
                      <a:ext cx="5486400" cy="2084859"/>
                    </a:xfrm>
                    <a:prstGeom prst="rect"/>
                  </pic:spPr>
                </pic:pic>
              </a:graphicData>
            </a:graphic>
          </wp:inline>
        </w:drawing>
      </w:r>
    </w:p>
    <w:p>
      <w:pPr>
        <w:spacing w:before="40" w:after="240"/>
        <w:jc w:val="center"/>
      </w:pPr>
      <w:r>
        <w:rPr>
          <w:i/>
          <w:color w:val="64748B"/>
          <w:sz w:val="19"/>
        </w:rPr>
        <w:t>Fig. 9: Five-Seed Mean Test MAE Across All Compared Models on Modern PJM (Raw MW Scale).</w:t>
      </w:r>
    </w:p>
    <w:p>
      <w:pPr>
        <w:keepNext/>
        <w:spacing w:before="160" w:after="80"/>
        <w:jc w:val="center"/>
      </w:pPr>
      <w:r>
        <w:drawing>
          <wp:inline xmlns:a="http://schemas.openxmlformats.org/drawingml/2006/main" xmlns:pic="http://schemas.openxmlformats.org/drawingml/2006/picture">
            <wp:extent cx="5486400" cy="3148426"/>
            <wp:docPr id="10" name="Picture 10"/>
            <wp:cNvGraphicFramePr>
              <a:graphicFrameLocks noChangeAspect="1"/>
            </wp:cNvGraphicFramePr>
            <a:graphic>
              <a:graphicData uri="http://schemas.openxmlformats.org/drawingml/2006/picture">
                <pic:pic>
                  <pic:nvPicPr>
                    <pic:cNvPr id="0" name="fig_4_12_canonical_v1_forecast.png"/>
                    <pic:cNvPicPr/>
                  </pic:nvPicPr>
                  <pic:blipFill>
                    <a:blip r:embed="rId18"/>
                    <a:stretch>
                      <a:fillRect/>
                    </a:stretch>
                  </pic:blipFill>
                  <pic:spPr>
                    <a:xfrm>
                      <a:off x="0" y="0"/>
                      <a:ext cx="5486400" cy="3148426"/>
                    </a:xfrm>
                    <a:prstGeom prst="rect"/>
                  </pic:spPr>
                </pic:pic>
              </a:graphicData>
            </a:graphic>
          </wp:inline>
        </w:drawing>
      </w:r>
    </w:p>
    <w:p>
      <w:pPr>
        <w:spacing w:before="40" w:after="240"/>
        <w:jc w:val="center"/>
      </w:pPr>
      <w:r>
        <w:rPr>
          <w:i/>
          <w:color w:val="64748B"/>
          <w:sz w:val="19"/>
        </w:rPr>
        <w:t>Fig. 10: 24-Hour Day-Ahead Forecast Trajectory vs Actual Ground Truth on PJM Test Partition.</w:t>
      </w:r>
    </w:p>
    <w:p>
      <w:pPr>
        <w:keepNext/>
        <w:spacing w:before="280" w:after="80"/>
      </w:pPr>
      <w:r>
        <w:rPr>
          <w:b/>
          <w:color w:val="2C3E50"/>
          <w:sz w:val="26"/>
        </w:rPr>
        <w:t>5.3 Five-Seed Stochastic Benchmark Analysis</w:t>
      </w:r>
    </w:p>
    <w:p>
      <w:pPr>
        <w:spacing w:after="100" w:line="276" w:lineRule="auto"/>
      </w:pPr>
      <w:r>
        <w:t>To rigorously quantify sensitivity to parameter initialization and optimizer stochasticity, Table 8 details the per-seed test MAE, RMSE, and MAPE of Canonical CAEG-Net V1 across all five evaluation seeds on Modern PJM.</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560"/>
        <w:gridCol w:w="1560"/>
        <w:gridCol w:w="1560"/>
        <w:gridCol w:w="1560"/>
        <w:gridCol w:w="1560"/>
        <w:gridCol w:w="1560"/>
      </w:tblGrid>
      <w:tr>
        <w:tc>
          <w:tcPr>
            <w:tcW w:type="dxa" w:w="1728"/>
            <w:shd w:fill="1B365D"/>
            <w:tcMar>
              <w:top w:w="100" w:type="dxa"/>
              <w:bottom w:w="100" w:type="dxa"/>
              <w:left w:w="120" w:type="dxa"/>
              <w:right w:w="120" w:type="dxa"/>
            </w:tcMar>
          </w:tcPr>
          <w:p>
            <w:pPr>
              <w:spacing w:after="0"/>
              <w:jc w:val="center"/>
            </w:pPr>
            <w:r>
              <w:rPr>
                <w:b/>
                <w:color w:val="FFFFFF"/>
                <w:sz w:val="19"/>
              </w:rPr>
              <w:t>Evaluation Seed</w:t>
            </w:r>
          </w:p>
        </w:tc>
        <w:tc>
          <w:tcPr>
            <w:tcW w:type="dxa" w:w="1872"/>
            <w:shd w:fill="1B365D"/>
            <w:tcMar>
              <w:top w:w="100" w:type="dxa"/>
              <w:bottom w:w="100" w:type="dxa"/>
              <w:left w:w="120" w:type="dxa"/>
              <w:right w:w="120" w:type="dxa"/>
            </w:tcMar>
          </w:tcPr>
          <w:p>
            <w:pPr>
              <w:spacing w:after="0"/>
              <w:jc w:val="center"/>
            </w:pPr>
            <w:r>
              <w:rPr>
                <w:b/>
                <w:color w:val="FFFFFF"/>
                <w:sz w:val="19"/>
              </w:rPr>
              <w:t>Validation Loss (MSE)</w:t>
            </w:r>
          </w:p>
        </w:tc>
        <w:tc>
          <w:tcPr>
            <w:tcW w:type="dxa" w:w="1440"/>
            <w:shd w:fill="1B365D"/>
            <w:tcMar>
              <w:top w:w="100" w:type="dxa"/>
              <w:bottom w:w="100" w:type="dxa"/>
              <w:left w:w="120" w:type="dxa"/>
              <w:right w:w="120" w:type="dxa"/>
            </w:tcMar>
          </w:tcPr>
          <w:p>
            <w:pPr>
              <w:spacing w:after="0"/>
              <w:jc w:val="center"/>
            </w:pPr>
            <w:r>
              <w:rPr>
                <w:b/>
                <w:color w:val="FFFFFF"/>
                <w:sz w:val="19"/>
              </w:rPr>
              <w:t>Test MAE (MW)</w:t>
            </w:r>
          </w:p>
        </w:tc>
        <w:tc>
          <w:tcPr>
            <w:tcW w:type="dxa" w:w="1440"/>
            <w:shd w:fill="1B365D"/>
            <w:tcMar>
              <w:top w:w="100" w:type="dxa"/>
              <w:bottom w:w="100" w:type="dxa"/>
              <w:left w:w="120" w:type="dxa"/>
              <w:right w:w="120" w:type="dxa"/>
            </w:tcMar>
          </w:tcPr>
          <w:p>
            <w:pPr>
              <w:spacing w:after="0"/>
              <w:jc w:val="center"/>
            </w:pPr>
            <w:r>
              <w:rPr>
                <w:b/>
                <w:color w:val="FFFFFF"/>
                <w:sz w:val="19"/>
              </w:rPr>
              <w:t>Test RMSE (MW)</w:t>
            </w:r>
          </w:p>
        </w:tc>
        <w:tc>
          <w:tcPr>
            <w:tcW w:type="dxa" w:w="1152"/>
            <w:shd w:fill="1B365D"/>
            <w:tcMar>
              <w:top w:w="100" w:type="dxa"/>
              <w:bottom w:w="100" w:type="dxa"/>
              <w:left w:w="120" w:type="dxa"/>
              <w:right w:w="120" w:type="dxa"/>
            </w:tcMar>
          </w:tcPr>
          <w:p>
            <w:pPr>
              <w:spacing w:after="0"/>
              <w:jc w:val="center"/>
            </w:pPr>
            <w:r>
              <w:rPr>
                <w:b/>
                <w:color w:val="FFFFFF"/>
                <w:sz w:val="19"/>
              </w:rPr>
              <w:t>Test R^2</w:t>
            </w:r>
          </w:p>
        </w:tc>
        <w:tc>
          <w:tcPr>
            <w:tcW w:type="dxa" w:w="1296"/>
            <w:shd w:fill="1B365D"/>
            <w:tcMar>
              <w:top w:w="100" w:type="dxa"/>
              <w:bottom w:w="100" w:type="dxa"/>
              <w:left w:w="120" w:type="dxa"/>
              <w:right w:w="120" w:type="dxa"/>
            </w:tcMar>
          </w:tcPr>
          <w:p>
            <w:pPr>
              <w:spacing w:after="0"/>
              <w:jc w:val="center"/>
            </w:pPr>
            <w:r>
              <w:rPr>
                <w:b/>
                <w:color w:val="FFFFFF"/>
                <w:sz w:val="19"/>
              </w:rPr>
              <w:t>Test MAPE (%)</w:t>
            </w:r>
          </w:p>
        </w:tc>
      </w:tr>
      <w:tr>
        <w:tc>
          <w:tcPr>
            <w:tcW w:type="dxa" w:w="1728"/>
            <w:shd w:fill="FFFFFF"/>
            <w:tcMar>
              <w:top w:w="80" w:type="dxa"/>
              <w:bottom w:w="80" w:type="dxa"/>
              <w:left w:w="120" w:type="dxa"/>
              <w:right w:w="120" w:type="dxa"/>
            </w:tcMar>
          </w:tcPr>
          <w:p>
            <w:pPr>
              <w:spacing w:after="0"/>
              <w:jc w:val="left"/>
            </w:pPr>
            <w:r>
              <w:rPr>
                <w:color w:val="1E293B"/>
                <w:sz w:val="19"/>
              </w:rPr>
              <w:t>Seed 42</w:t>
            </w:r>
          </w:p>
        </w:tc>
        <w:tc>
          <w:tcPr>
            <w:tcW w:type="dxa" w:w="1872"/>
            <w:shd w:fill="FFFFFF"/>
            <w:tcMar>
              <w:top w:w="80" w:type="dxa"/>
              <w:bottom w:w="80" w:type="dxa"/>
              <w:left w:w="120" w:type="dxa"/>
              <w:right w:w="120" w:type="dxa"/>
            </w:tcMar>
          </w:tcPr>
          <w:p>
            <w:pPr>
              <w:spacing w:after="0"/>
              <w:jc w:val="right"/>
            </w:pPr>
            <w:r>
              <w:rPr>
                <w:color w:val="1E293B"/>
                <w:sz w:val="19"/>
              </w:rPr>
              <w:t>0.1412</w:t>
            </w:r>
          </w:p>
        </w:tc>
        <w:tc>
          <w:tcPr>
            <w:tcW w:type="dxa" w:w="1440"/>
            <w:shd w:fill="FFFFFF"/>
            <w:tcMar>
              <w:top w:w="80" w:type="dxa"/>
              <w:bottom w:w="80" w:type="dxa"/>
              <w:left w:w="120" w:type="dxa"/>
              <w:right w:w="120" w:type="dxa"/>
            </w:tcMar>
          </w:tcPr>
          <w:p>
            <w:pPr>
              <w:spacing w:after="0"/>
              <w:jc w:val="right"/>
            </w:pPr>
            <w:r>
              <w:rPr>
                <w:color w:val="1E293B"/>
                <w:sz w:val="19"/>
              </w:rPr>
              <w:t>248.82</w:t>
            </w:r>
          </w:p>
        </w:tc>
        <w:tc>
          <w:tcPr>
            <w:tcW w:type="dxa" w:w="1440"/>
            <w:shd w:fill="FFFFFF"/>
            <w:tcMar>
              <w:top w:w="80" w:type="dxa"/>
              <w:bottom w:w="80" w:type="dxa"/>
              <w:left w:w="120" w:type="dxa"/>
              <w:right w:w="120" w:type="dxa"/>
            </w:tcMar>
          </w:tcPr>
          <w:p>
            <w:pPr>
              <w:spacing w:after="0"/>
              <w:jc w:val="right"/>
            </w:pPr>
            <w:r>
              <w:rPr>
                <w:color w:val="1E293B"/>
                <w:sz w:val="19"/>
              </w:rPr>
              <w:t>332.14</w:t>
            </w:r>
          </w:p>
        </w:tc>
        <w:tc>
          <w:tcPr>
            <w:tcW w:type="dxa" w:w="1152"/>
            <w:shd w:fill="FFFFFF"/>
            <w:tcMar>
              <w:top w:w="80" w:type="dxa"/>
              <w:bottom w:w="80" w:type="dxa"/>
              <w:left w:w="120" w:type="dxa"/>
              <w:right w:w="120" w:type="dxa"/>
            </w:tcMar>
          </w:tcPr>
          <w:p>
            <w:pPr>
              <w:spacing w:after="0"/>
              <w:jc w:val="right"/>
            </w:pPr>
            <w:r>
              <w:rPr>
                <w:color w:val="1E293B"/>
                <w:sz w:val="19"/>
              </w:rPr>
              <w:t>0.8738</w:t>
            </w:r>
          </w:p>
        </w:tc>
        <w:tc>
          <w:tcPr>
            <w:tcW w:type="dxa" w:w="1296"/>
            <w:shd w:fill="FFFFFF"/>
            <w:tcMar>
              <w:top w:w="80" w:type="dxa"/>
              <w:bottom w:w="80" w:type="dxa"/>
              <w:left w:w="120" w:type="dxa"/>
              <w:right w:w="120" w:type="dxa"/>
            </w:tcMar>
          </w:tcPr>
          <w:p>
            <w:pPr>
              <w:spacing w:after="0"/>
              <w:jc w:val="right"/>
            </w:pPr>
            <w:r>
              <w:rPr>
                <w:color w:val="1E293B"/>
                <w:sz w:val="19"/>
              </w:rPr>
              <w:t>4.54%</w:t>
            </w:r>
          </w:p>
        </w:tc>
      </w:tr>
      <w:tr>
        <w:tc>
          <w:tcPr>
            <w:tcW w:type="dxa" w:w="1728"/>
            <w:shd w:fill="F8FAFC"/>
            <w:tcMar>
              <w:top w:w="80" w:type="dxa"/>
              <w:bottom w:w="80" w:type="dxa"/>
              <w:left w:w="120" w:type="dxa"/>
              <w:right w:w="120" w:type="dxa"/>
            </w:tcMar>
          </w:tcPr>
          <w:p>
            <w:pPr>
              <w:spacing w:after="0"/>
              <w:jc w:val="left"/>
            </w:pPr>
            <w:r>
              <w:rPr>
                <w:color w:val="1E293B"/>
                <w:sz w:val="19"/>
              </w:rPr>
              <w:t>Seed 123</w:t>
            </w:r>
          </w:p>
        </w:tc>
        <w:tc>
          <w:tcPr>
            <w:tcW w:type="dxa" w:w="1872"/>
            <w:shd w:fill="F8FAFC"/>
            <w:tcMar>
              <w:top w:w="80" w:type="dxa"/>
              <w:bottom w:w="80" w:type="dxa"/>
              <w:left w:w="120" w:type="dxa"/>
              <w:right w:w="120" w:type="dxa"/>
            </w:tcMar>
          </w:tcPr>
          <w:p>
            <w:pPr>
              <w:spacing w:after="0"/>
              <w:jc w:val="right"/>
            </w:pPr>
            <w:r>
              <w:rPr>
                <w:color w:val="1E293B"/>
                <w:sz w:val="19"/>
              </w:rPr>
              <w:t>0.1438</w:t>
            </w:r>
          </w:p>
        </w:tc>
        <w:tc>
          <w:tcPr>
            <w:tcW w:type="dxa" w:w="1440"/>
            <w:shd w:fill="F8FAFC"/>
            <w:tcMar>
              <w:top w:w="80" w:type="dxa"/>
              <w:bottom w:w="80" w:type="dxa"/>
              <w:left w:w="120" w:type="dxa"/>
              <w:right w:w="120" w:type="dxa"/>
            </w:tcMar>
          </w:tcPr>
          <w:p>
            <w:pPr>
              <w:spacing w:after="0"/>
              <w:jc w:val="right"/>
            </w:pPr>
            <w:r>
              <w:rPr>
                <w:color w:val="1E293B"/>
                <w:sz w:val="19"/>
              </w:rPr>
              <w:t>252.19</w:t>
            </w:r>
          </w:p>
        </w:tc>
        <w:tc>
          <w:tcPr>
            <w:tcW w:type="dxa" w:w="1440"/>
            <w:shd w:fill="F8FAFC"/>
            <w:tcMar>
              <w:top w:w="80" w:type="dxa"/>
              <w:bottom w:w="80" w:type="dxa"/>
              <w:left w:w="120" w:type="dxa"/>
              <w:right w:w="120" w:type="dxa"/>
            </w:tcMar>
          </w:tcPr>
          <w:p>
            <w:pPr>
              <w:spacing w:after="0"/>
              <w:jc w:val="right"/>
            </w:pPr>
            <w:r>
              <w:rPr>
                <w:color w:val="1E293B"/>
                <w:sz w:val="19"/>
              </w:rPr>
              <w:t>336.80</w:t>
            </w:r>
          </w:p>
        </w:tc>
        <w:tc>
          <w:tcPr>
            <w:tcW w:type="dxa" w:w="1152"/>
            <w:shd w:fill="F8FAFC"/>
            <w:tcMar>
              <w:top w:w="80" w:type="dxa"/>
              <w:bottom w:w="80" w:type="dxa"/>
              <w:left w:w="120" w:type="dxa"/>
              <w:right w:w="120" w:type="dxa"/>
            </w:tcMar>
          </w:tcPr>
          <w:p>
            <w:pPr>
              <w:spacing w:after="0"/>
              <w:jc w:val="right"/>
            </w:pPr>
            <w:r>
              <w:rPr>
                <w:color w:val="1E293B"/>
                <w:sz w:val="19"/>
              </w:rPr>
              <w:t>0.8704</w:t>
            </w:r>
          </w:p>
        </w:tc>
        <w:tc>
          <w:tcPr>
            <w:tcW w:type="dxa" w:w="1296"/>
            <w:shd w:fill="F8FAFC"/>
            <w:tcMar>
              <w:top w:w="80" w:type="dxa"/>
              <w:bottom w:w="80" w:type="dxa"/>
              <w:left w:w="120" w:type="dxa"/>
              <w:right w:w="120" w:type="dxa"/>
            </w:tcMar>
          </w:tcPr>
          <w:p>
            <w:pPr>
              <w:spacing w:after="0"/>
              <w:jc w:val="right"/>
            </w:pPr>
            <w:r>
              <w:rPr>
                <w:color w:val="1E293B"/>
                <w:sz w:val="19"/>
              </w:rPr>
              <w:t>4.61%</w:t>
            </w:r>
          </w:p>
        </w:tc>
      </w:tr>
      <w:tr>
        <w:tc>
          <w:tcPr>
            <w:tcW w:type="dxa" w:w="1728"/>
            <w:shd w:fill="FFFFFF"/>
            <w:tcMar>
              <w:top w:w="80" w:type="dxa"/>
              <w:bottom w:w="80" w:type="dxa"/>
              <w:left w:w="120" w:type="dxa"/>
              <w:right w:w="120" w:type="dxa"/>
            </w:tcMar>
          </w:tcPr>
          <w:p>
            <w:pPr>
              <w:spacing w:after="0"/>
              <w:jc w:val="left"/>
            </w:pPr>
            <w:r>
              <w:rPr>
                <w:color w:val="1E293B"/>
                <w:sz w:val="19"/>
              </w:rPr>
              <w:t>Seed 999</w:t>
            </w:r>
          </w:p>
        </w:tc>
        <w:tc>
          <w:tcPr>
            <w:tcW w:type="dxa" w:w="1872"/>
            <w:shd w:fill="FFFFFF"/>
            <w:tcMar>
              <w:top w:w="80" w:type="dxa"/>
              <w:bottom w:w="80" w:type="dxa"/>
              <w:left w:w="120" w:type="dxa"/>
              <w:right w:w="120" w:type="dxa"/>
            </w:tcMar>
          </w:tcPr>
          <w:p>
            <w:pPr>
              <w:spacing w:after="0"/>
              <w:jc w:val="right"/>
            </w:pPr>
            <w:r>
              <w:rPr>
                <w:color w:val="1E293B"/>
                <w:sz w:val="19"/>
              </w:rPr>
              <w:t>0.1398</w:t>
            </w:r>
          </w:p>
        </w:tc>
        <w:tc>
          <w:tcPr>
            <w:tcW w:type="dxa" w:w="1440"/>
            <w:shd w:fill="FFFFFF"/>
            <w:tcMar>
              <w:top w:w="80" w:type="dxa"/>
              <w:bottom w:w="80" w:type="dxa"/>
              <w:left w:w="120" w:type="dxa"/>
              <w:right w:w="120" w:type="dxa"/>
            </w:tcMar>
          </w:tcPr>
          <w:p>
            <w:pPr>
              <w:spacing w:after="0"/>
              <w:jc w:val="right"/>
            </w:pPr>
            <w:r>
              <w:rPr>
                <w:color w:val="1E293B"/>
                <w:sz w:val="19"/>
              </w:rPr>
              <w:t>246.54</w:t>
            </w:r>
          </w:p>
        </w:tc>
        <w:tc>
          <w:tcPr>
            <w:tcW w:type="dxa" w:w="1440"/>
            <w:shd w:fill="FFFFFF"/>
            <w:tcMar>
              <w:top w:w="80" w:type="dxa"/>
              <w:bottom w:w="80" w:type="dxa"/>
              <w:left w:w="120" w:type="dxa"/>
              <w:right w:w="120" w:type="dxa"/>
            </w:tcMar>
          </w:tcPr>
          <w:p>
            <w:pPr>
              <w:spacing w:after="0"/>
              <w:jc w:val="right"/>
            </w:pPr>
            <w:r>
              <w:rPr>
                <w:color w:val="1E293B"/>
                <w:sz w:val="19"/>
              </w:rPr>
              <w:t>329.72</w:t>
            </w:r>
          </w:p>
        </w:tc>
        <w:tc>
          <w:tcPr>
            <w:tcW w:type="dxa" w:w="1152"/>
            <w:shd w:fill="FFFFFF"/>
            <w:tcMar>
              <w:top w:w="80" w:type="dxa"/>
              <w:bottom w:w="80" w:type="dxa"/>
              <w:left w:w="120" w:type="dxa"/>
              <w:right w:w="120" w:type="dxa"/>
            </w:tcMar>
          </w:tcPr>
          <w:p>
            <w:pPr>
              <w:spacing w:after="0"/>
              <w:jc w:val="right"/>
            </w:pPr>
            <w:r>
              <w:rPr>
                <w:color w:val="1E293B"/>
                <w:sz w:val="19"/>
              </w:rPr>
              <w:t>0.8757</w:t>
            </w:r>
          </w:p>
        </w:tc>
        <w:tc>
          <w:tcPr>
            <w:tcW w:type="dxa" w:w="1296"/>
            <w:shd w:fill="FFFFFF"/>
            <w:tcMar>
              <w:top w:w="80" w:type="dxa"/>
              <w:bottom w:w="80" w:type="dxa"/>
              <w:left w:w="120" w:type="dxa"/>
              <w:right w:w="120" w:type="dxa"/>
            </w:tcMar>
          </w:tcPr>
          <w:p>
            <w:pPr>
              <w:spacing w:after="0"/>
              <w:jc w:val="right"/>
            </w:pPr>
            <w:r>
              <w:rPr>
                <w:color w:val="1E293B"/>
                <w:sz w:val="19"/>
              </w:rPr>
              <w:t>4.50%</w:t>
            </w:r>
          </w:p>
        </w:tc>
      </w:tr>
      <w:tr>
        <w:tc>
          <w:tcPr>
            <w:tcW w:type="dxa" w:w="1728"/>
            <w:shd w:fill="F8FAFC"/>
            <w:tcMar>
              <w:top w:w="80" w:type="dxa"/>
              <w:bottom w:w="80" w:type="dxa"/>
              <w:left w:w="120" w:type="dxa"/>
              <w:right w:w="120" w:type="dxa"/>
            </w:tcMar>
          </w:tcPr>
          <w:p>
            <w:pPr>
              <w:spacing w:after="0"/>
              <w:jc w:val="left"/>
            </w:pPr>
            <w:r>
              <w:rPr>
                <w:color w:val="1E293B"/>
                <w:sz w:val="19"/>
              </w:rPr>
              <w:t>Seed 2024</w:t>
            </w:r>
          </w:p>
        </w:tc>
        <w:tc>
          <w:tcPr>
            <w:tcW w:type="dxa" w:w="1872"/>
            <w:shd w:fill="F8FAFC"/>
            <w:tcMar>
              <w:top w:w="80" w:type="dxa"/>
              <w:bottom w:w="80" w:type="dxa"/>
              <w:left w:w="120" w:type="dxa"/>
              <w:right w:w="120" w:type="dxa"/>
            </w:tcMar>
          </w:tcPr>
          <w:p>
            <w:pPr>
              <w:spacing w:after="0"/>
              <w:jc w:val="right"/>
            </w:pPr>
            <w:r>
              <w:rPr>
                <w:color w:val="1E293B"/>
                <w:sz w:val="19"/>
              </w:rPr>
              <w:t>0.1485</w:t>
            </w:r>
          </w:p>
        </w:tc>
        <w:tc>
          <w:tcPr>
            <w:tcW w:type="dxa" w:w="1440"/>
            <w:shd w:fill="F8FAFC"/>
            <w:tcMar>
              <w:top w:w="80" w:type="dxa"/>
              <w:bottom w:w="80" w:type="dxa"/>
              <w:left w:w="120" w:type="dxa"/>
              <w:right w:w="120" w:type="dxa"/>
            </w:tcMar>
          </w:tcPr>
          <w:p>
            <w:pPr>
              <w:spacing w:after="0"/>
              <w:jc w:val="right"/>
            </w:pPr>
            <w:r>
              <w:rPr>
                <w:color w:val="1E293B"/>
                <w:sz w:val="19"/>
              </w:rPr>
              <w:t>267.45</w:t>
            </w:r>
          </w:p>
        </w:tc>
        <w:tc>
          <w:tcPr>
            <w:tcW w:type="dxa" w:w="1440"/>
            <w:shd w:fill="F8FAFC"/>
            <w:tcMar>
              <w:top w:w="80" w:type="dxa"/>
              <w:bottom w:w="80" w:type="dxa"/>
              <w:left w:w="120" w:type="dxa"/>
              <w:right w:w="120" w:type="dxa"/>
            </w:tcMar>
          </w:tcPr>
          <w:p>
            <w:pPr>
              <w:spacing w:after="0"/>
              <w:jc w:val="right"/>
            </w:pPr>
            <w:r>
              <w:rPr>
                <w:color w:val="1E293B"/>
                <w:sz w:val="19"/>
              </w:rPr>
              <w:t>354.21</w:t>
            </w:r>
          </w:p>
        </w:tc>
        <w:tc>
          <w:tcPr>
            <w:tcW w:type="dxa" w:w="1152"/>
            <w:shd w:fill="F8FAFC"/>
            <w:tcMar>
              <w:top w:w="80" w:type="dxa"/>
              <w:bottom w:w="80" w:type="dxa"/>
              <w:left w:w="120" w:type="dxa"/>
              <w:right w:w="120" w:type="dxa"/>
            </w:tcMar>
          </w:tcPr>
          <w:p>
            <w:pPr>
              <w:spacing w:after="0"/>
              <w:jc w:val="right"/>
            </w:pPr>
            <w:r>
              <w:rPr>
                <w:color w:val="1E293B"/>
                <w:sz w:val="19"/>
              </w:rPr>
              <w:t>0.8569</w:t>
            </w:r>
          </w:p>
        </w:tc>
        <w:tc>
          <w:tcPr>
            <w:tcW w:type="dxa" w:w="1296"/>
            <w:shd w:fill="F8FAFC"/>
            <w:tcMar>
              <w:top w:w="80" w:type="dxa"/>
              <w:bottom w:w="80" w:type="dxa"/>
              <w:left w:w="120" w:type="dxa"/>
              <w:right w:w="120" w:type="dxa"/>
            </w:tcMar>
          </w:tcPr>
          <w:p>
            <w:pPr>
              <w:spacing w:after="0"/>
              <w:jc w:val="right"/>
            </w:pPr>
            <w:r>
              <w:rPr>
                <w:color w:val="1E293B"/>
                <w:sz w:val="19"/>
              </w:rPr>
              <w:t>4.88%</w:t>
            </w:r>
          </w:p>
        </w:tc>
      </w:tr>
      <w:tr>
        <w:tc>
          <w:tcPr>
            <w:tcW w:type="dxa" w:w="1728"/>
            <w:shd w:fill="FFFFFF"/>
            <w:tcMar>
              <w:top w:w="80" w:type="dxa"/>
              <w:bottom w:w="80" w:type="dxa"/>
              <w:left w:w="120" w:type="dxa"/>
              <w:right w:w="120" w:type="dxa"/>
            </w:tcMar>
          </w:tcPr>
          <w:p>
            <w:pPr>
              <w:spacing w:after="0"/>
              <w:jc w:val="left"/>
            </w:pPr>
            <w:r>
              <w:rPr>
                <w:color w:val="1E293B"/>
                <w:sz w:val="19"/>
              </w:rPr>
              <w:t>Seed 3407</w:t>
            </w:r>
          </w:p>
        </w:tc>
        <w:tc>
          <w:tcPr>
            <w:tcW w:type="dxa" w:w="1872"/>
            <w:shd w:fill="FFFFFF"/>
            <w:tcMar>
              <w:top w:w="80" w:type="dxa"/>
              <w:bottom w:w="80" w:type="dxa"/>
              <w:left w:w="120" w:type="dxa"/>
              <w:right w:w="120" w:type="dxa"/>
            </w:tcMar>
          </w:tcPr>
          <w:p>
            <w:pPr>
              <w:spacing w:after="0"/>
              <w:jc w:val="right"/>
            </w:pPr>
            <w:r>
              <w:rPr>
                <w:color w:val="1E293B"/>
                <w:sz w:val="19"/>
              </w:rPr>
              <w:t>0.1405</w:t>
            </w:r>
          </w:p>
        </w:tc>
        <w:tc>
          <w:tcPr>
            <w:tcW w:type="dxa" w:w="1440"/>
            <w:shd w:fill="FFFFFF"/>
            <w:tcMar>
              <w:top w:w="80" w:type="dxa"/>
              <w:bottom w:w="80" w:type="dxa"/>
              <w:left w:w="120" w:type="dxa"/>
              <w:right w:w="120" w:type="dxa"/>
            </w:tcMar>
          </w:tcPr>
          <w:p>
            <w:pPr>
              <w:spacing w:after="0"/>
              <w:jc w:val="right"/>
            </w:pPr>
            <w:r>
              <w:rPr>
                <w:color w:val="1E293B"/>
                <w:sz w:val="19"/>
              </w:rPr>
              <w:t>239.87</w:t>
            </w:r>
          </w:p>
        </w:tc>
        <w:tc>
          <w:tcPr>
            <w:tcW w:type="dxa" w:w="1440"/>
            <w:shd w:fill="FFFFFF"/>
            <w:tcMar>
              <w:top w:w="80" w:type="dxa"/>
              <w:bottom w:w="80" w:type="dxa"/>
              <w:left w:w="120" w:type="dxa"/>
              <w:right w:w="120" w:type="dxa"/>
            </w:tcMar>
          </w:tcPr>
          <w:p>
            <w:pPr>
              <w:spacing w:after="0"/>
              <w:jc w:val="right"/>
            </w:pPr>
            <w:r>
              <w:rPr>
                <w:color w:val="1E293B"/>
                <w:sz w:val="19"/>
              </w:rPr>
              <w:t>324.03</w:t>
            </w:r>
          </w:p>
        </w:tc>
        <w:tc>
          <w:tcPr>
            <w:tcW w:type="dxa" w:w="1152"/>
            <w:shd w:fill="FFFFFF"/>
            <w:tcMar>
              <w:top w:w="80" w:type="dxa"/>
              <w:bottom w:w="80" w:type="dxa"/>
              <w:left w:w="120" w:type="dxa"/>
              <w:right w:w="120" w:type="dxa"/>
            </w:tcMar>
          </w:tcPr>
          <w:p>
            <w:pPr>
              <w:spacing w:after="0"/>
              <w:jc w:val="right"/>
            </w:pPr>
            <w:r>
              <w:rPr>
                <w:color w:val="1E293B"/>
                <w:sz w:val="19"/>
              </w:rPr>
              <w:t>0.8800</w:t>
            </w:r>
          </w:p>
        </w:tc>
        <w:tc>
          <w:tcPr>
            <w:tcW w:type="dxa" w:w="1296"/>
            <w:shd w:fill="FFFFFF"/>
            <w:tcMar>
              <w:top w:w="80" w:type="dxa"/>
              <w:bottom w:w="80" w:type="dxa"/>
              <w:left w:w="120" w:type="dxa"/>
              <w:right w:w="120" w:type="dxa"/>
            </w:tcMar>
          </w:tcPr>
          <w:p>
            <w:pPr>
              <w:spacing w:after="0"/>
              <w:jc w:val="right"/>
            </w:pPr>
            <w:r>
              <w:rPr>
                <w:color w:val="1E293B"/>
                <w:sz w:val="19"/>
              </w:rPr>
              <w:t>4.38%</w:t>
            </w:r>
          </w:p>
        </w:tc>
      </w:tr>
      <w:tr>
        <w:tc>
          <w:tcPr>
            <w:tcW w:type="dxa" w:w="1728"/>
            <w:shd w:fill="F8FAFC"/>
            <w:tcMar>
              <w:top w:w="80" w:type="dxa"/>
              <w:bottom w:w="80" w:type="dxa"/>
              <w:left w:w="120" w:type="dxa"/>
              <w:right w:w="120" w:type="dxa"/>
            </w:tcMar>
          </w:tcPr>
          <w:p>
            <w:pPr>
              <w:spacing w:after="0"/>
              <w:jc w:val="left"/>
            </w:pPr>
            <w:r>
              <w:rPr>
                <w:color w:val="1E293B"/>
                <w:sz w:val="19"/>
              </w:rPr>
              <w:t>Five-Seed Mean ± Std</w:t>
            </w:r>
          </w:p>
        </w:tc>
        <w:tc>
          <w:tcPr>
            <w:tcW w:type="dxa" w:w="1872"/>
            <w:shd w:fill="F8FAFC"/>
            <w:tcMar>
              <w:top w:w="80" w:type="dxa"/>
              <w:bottom w:w="80" w:type="dxa"/>
              <w:left w:w="120" w:type="dxa"/>
              <w:right w:w="120" w:type="dxa"/>
            </w:tcMar>
          </w:tcPr>
          <w:p>
            <w:pPr>
              <w:spacing w:after="0"/>
              <w:jc w:val="right"/>
            </w:pPr>
            <w:r>
              <w:rPr>
                <w:color w:val="1E293B"/>
                <w:sz w:val="19"/>
              </w:rPr>
              <w:t>0.1428 ± 0.0035</w:t>
            </w:r>
          </w:p>
        </w:tc>
        <w:tc>
          <w:tcPr>
            <w:tcW w:type="dxa" w:w="1440"/>
            <w:shd w:fill="F8FAFC"/>
            <w:tcMar>
              <w:top w:w="80" w:type="dxa"/>
              <w:bottom w:w="80" w:type="dxa"/>
              <w:left w:w="120" w:type="dxa"/>
              <w:right w:w="120" w:type="dxa"/>
            </w:tcMar>
          </w:tcPr>
          <w:p>
            <w:pPr>
              <w:spacing w:after="0"/>
              <w:jc w:val="right"/>
            </w:pPr>
            <w:r>
              <w:rPr>
                <w:color w:val="1E293B"/>
                <w:sz w:val="19"/>
              </w:rPr>
              <w:t>250.97 ± 10.69</w:t>
            </w:r>
          </w:p>
        </w:tc>
        <w:tc>
          <w:tcPr>
            <w:tcW w:type="dxa" w:w="1440"/>
            <w:shd w:fill="F8FAFC"/>
            <w:tcMar>
              <w:top w:w="80" w:type="dxa"/>
              <w:bottom w:w="80" w:type="dxa"/>
              <w:left w:w="120" w:type="dxa"/>
              <w:right w:w="120" w:type="dxa"/>
            </w:tcMar>
          </w:tcPr>
          <w:p>
            <w:pPr>
              <w:spacing w:after="0"/>
              <w:jc w:val="right"/>
            </w:pPr>
            <w:r>
              <w:rPr>
                <w:color w:val="1E293B"/>
                <w:sz w:val="19"/>
              </w:rPr>
              <w:t>335.38 ± 11.20</w:t>
            </w:r>
          </w:p>
        </w:tc>
        <w:tc>
          <w:tcPr>
            <w:tcW w:type="dxa" w:w="1152"/>
            <w:shd w:fill="F8FAFC"/>
            <w:tcMar>
              <w:top w:w="80" w:type="dxa"/>
              <w:bottom w:w="80" w:type="dxa"/>
              <w:left w:w="120" w:type="dxa"/>
              <w:right w:w="120" w:type="dxa"/>
            </w:tcMar>
          </w:tcPr>
          <w:p>
            <w:pPr>
              <w:spacing w:after="0"/>
              <w:jc w:val="right"/>
            </w:pPr>
            <w:r>
              <w:rPr>
                <w:color w:val="1E293B"/>
                <w:sz w:val="19"/>
              </w:rPr>
              <w:t>0.8714 ± 0.0090</w:t>
            </w:r>
          </w:p>
        </w:tc>
        <w:tc>
          <w:tcPr>
            <w:tcW w:type="dxa" w:w="1296"/>
            <w:shd w:fill="F8FAFC"/>
            <w:tcMar>
              <w:top w:w="80" w:type="dxa"/>
              <w:bottom w:w="80" w:type="dxa"/>
              <w:left w:w="120" w:type="dxa"/>
              <w:right w:w="120" w:type="dxa"/>
            </w:tcMar>
          </w:tcPr>
          <w:p>
            <w:pPr>
              <w:spacing w:after="0"/>
              <w:jc w:val="right"/>
            </w:pPr>
            <w:r>
              <w:rPr>
                <w:color w:val="1E293B"/>
                <w:sz w:val="19"/>
              </w:rPr>
              <w:t>4.58% ± 0.19%</w:t>
            </w:r>
          </w:p>
        </w:tc>
      </w:tr>
    </w:tbl>
    <w:p>
      <w:pPr>
        <w:spacing w:after="160"/>
      </w:pPr>
    </w:p>
    <w:p>
      <w:pPr>
        <w:keepNext/>
        <w:spacing w:before="280" w:after="80"/>
      </w:pPr>
      <w:r>
        <w:rPr>
          <w:b/>
          <w:color w:val="2C3E50"/>
          <w:sz w:val="26"/>
        </w:rPr>
        <w:t>5.4 Multi-Dataset Cross-Grid Generalization</w:t>
      </w:r>
    </w:p>
    <w:p>
      <w:pPr>
        <w:spacing w:after="100" w:line="276" w:lineRule="auto"/>
      </w:pPr>
      <w:r>
        <w:t>To assess cross-grid robustness, CAEG-Net was evaluated under identical 5-seed protocols on GEFCom2014 (15 tasks) and UCI Electricity (321 clients). Table 9 summarizes cross-dataset results.</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337"/>
        <w:gridCol w:w="1337"/>
        <w:gridCol w:w="1337"/>
        <w:gridCol w:w="1337"/>
        <w:gridCol w:w="1337"/>
        <w:gridCol w:w="1337"/>
        <w:gridCol w:w="1337"/>
      </w:tblGrid>
      <w:tr>
        <w:tc>
          <w:tcPr>
            <w:tcW w:type="dxa" w:w="2016"/>
            <w:shd w:fill="1B365D"/>
            <w:tcMar>
              <w:top w:w="100" w:type="dxa"/>
              <w:bottom w:w="100" w:type="dxa"/>
              <w:left w:w="120" w:type="dxa"/>
              <w:right w:w="120" w:type="dxa"/>
            </w:tcMar>
          </w:tcPr>
          <w:p>
            <w:pPr>
              <w:spacing w:after="0"/>
              <w:jc w:val="center"/>
            </w:pPr>
            <w:r>
              <w:rPr>
                <w:b/>
                <w:color w:val="FFFFFF"/>
                <w:sz w:val="19"/>
              </w:rPr>
              <w:t>Dataset / Power Grid</w:t>
            </w:r>
          </w:p>
        </w:tc>
        <w:tc>
          <w:tcPr>
            <w:tcW w:type="dxa" w:w="1008"/>
            <w:shd w:fill="1B365D"/>
            <w:tcMar>
              <w:top w:w="100" w:type="dxa"/>
              <w:bottom w:w="100" w:type="dxa"/>
              <w:left w:w="120" w:type="dxa"/>
              <w:right w:w="120" w:type="dxa"/>
            </w:tcMar>
          </w:tcPr>
          <w:p>
            <w:pPr>
              <w:spacing w:after="0"/>
              <w:jc w:val="center"/>
            </w:pPr>
            <w:r>
              <w:rPr>
                <w:b/>
                <w:color w:val="FFFFFF"/>
                <w:sz w:val="19"/>
              </w:rPr>
              <w:t>Target Units</w:t>
            </w:r>
          </w:p>
        </w:tc>
        <w:tc>
          <w:tcPr>
            <w:tcW w:type="dxa" w:w="1152"/>
            <w:shd w:fill="1B365D"/>
            <w:tcMar>
              <w:top w:w="100" w:type="dxa"/>
              <w:bottom w:w="100" w:type="dxa"/>
              <w:left w:w="120" w:type="dxa"/>
              <w:right w:w="120" w:type="dxa"/>
            </w:tcMar>
          </w:tcPr>
          <w:p>
            <w:pPr>
              <w:spacing w:after="0"/>
              <w:jc w:val="center"/>
            </w:pPr>
            <w:r>
              <w:rPr>
                <w:b/>
                <w:color w:val="FFFFFF"/>
                <w:sz w:val="19"/>
              </w:rPr>
              <w:t>Obs Count</w:t>
            </w:r>
          </w:p>
        </w:tc>
        <w:tc>
          <w:tcPr>
            <w:tcW w:type="dxa" w:w="1584"/>
            <w:shd w:fill="1B365D"/>
            <w:tcMar>
              <w:top w:w="100" w:type="dxa"/>
              <w:bottom w:w="100" w:type="dxa"/>
              <w:left w:w="120" w:type="dxa"/>
              <w:right w:w="120" w:type="dxa"/>
            </w:tcMar>
          </w:tcPr>
          <w:p>
            <w:pPr>
              <w:spacing w:after="0"/>
              <w:jc w:val="center"/>
            </w:pPr>
            <w:r>
              <w:rPr>
                <w:b/>
                <w:color w:val="FFFFFF"/>
                <w:sz w:val="19"/>
              </w:rPr>
              <w:t>CAEG-Net MAE</w:t>
            </w:r>
          </w:p>
        </w:tc>
        <w:tc>
          <w:tcPr>
            <w:tcW w:type="dxa" w:w="1440"/>
            <w:shd w:fill="1B365D"/>
            <w:tcMar>
              <w:top w:w="100" w:type="dxa"/>
              <w:bottom w:w="100" w:type="dxa"/>
              <w:left w:w="120" w:type="dxa"/>
              <w:right w:w="120" w:type="dxa"/>
            </w:tcMar>
          </w:tcPr>
          <w:p>
            <w:pPr>
              <w:spacing w:after="0"/>
              <w:jc w:val="center"/>
            </w:pPr>
            <w:r>
              <w:rPr>
                <w:b/>
                <w:color w:val="FFFFFF"/>
                <w:sz w:val="19"/>
              </w:rPr>
              <w:t>TCN Standalone</w:t>
            </w:r>
          </w:p>
        </w:tc>
        <w:tc>
          <w:tcPr>
            <w:tcW w:type="dxa" w:w="1440"/>
            <w:shd w:fill="1B365D"/>
            <w:tcMar>
              <w:top w:w="100" w:type="dxa"/>
              <w:bottom w:w="100" w:type="dxa"/>
              <w:left w:w="120" w:type="dxa"/>
              <w:right w:w="120" w:type="dxa"/>
            </w:tcMar>
          </w:tcPr>
          <w:p>
            <w:pPr>
              <w:spacing w:after="0"/>
              <w:jc w:val="center"/>
            </w:pPr>
            <w:r>
              <w:rPr>
                <w:b/>
                <w:color w:val="FFFFFF"/>
                <w:sz w:val="19"/>
              </w:rPr>
              <w:t>LSTM Standalone</w:t>
            </w:r>
          </w:p>
        </w:tc>
        <w:tc>
          <w:tcPr>
            <w:tcW w:type="dxa" w:w="1440"/>
            <w:shd w:fill="1B365D"/>
            <w:tcMar>
              <w:top w:w="100" w:type="dxa"/>
              <w:bottom w:w="100" w:type="dxa"/>
              <w:left w:w="120" w:type="dxa"/>
              <w:right w:w="120" w:type="dxa"/>
            </w:tcMar>
          </w:tcPr>
          <w:p>
            <w:pPr>
              <w:spacing w:after="0"/>
              <w:jc w:val="center"/>
            </w:pPr>
            <w:r>
              <w:rPr>
                <w:b/>
                <w:color w:val="FFFFFF"/>
                <w:sz w:val="19"/>
              </w:rPr>
              <w:t>Equal Ensemble</w:t>
            </w:r>
          </w:p>
        </w:tc>
      </w:tr>
      <w:tr>
        <w:tc>
          <w:tcPr>
            <w:tcW w:type="dxa" w:w="2016"/>
            <w:shd w:fill="FFFFFF"/>
            <w:tcMar>
              <w:top w:w="80" w:type="dxa"/>
              <w:bottom w:w="80" w:type="dxa"/>
              <w:left w:w="120" w:type="dxa"/>
              <w:right w:w="120" w:type="dxa"/>
            </w:tcMar>
          </w:tcPr>
          <w:p>
            <w:pPr>
              <w:spacing w:after="0"/>
              <w:jc w:val="left"/>
            </w:pPr>
            <w:r>
              <w:rPr>
                <w:color w:val="1E293B"/>
                <w:sz w:val="19"/>
              </w:rPr>
              <w:t>Modern PJM</w:t>
            </w:r>
          </w:p>
        </w:tc>
        <w:tc>
          <w:tcPr>
            <w:tcW w:type="dxa" w:w="1008"/>
            <w:shd w:fill="FFFFFF"/>
            <w:tcMar>
              <w:top w:w="80" w:type="dxa"/>
              <w:bottom w:w="80" w:type="dxa"/>
              <w:left w:w="120" w:type="dxa"/>
              <w:right w:w="120" w:type="dxa"/>
            </w:tcMar>
          </w:tcPr>
          <w:p>
            <w:pPr>
              <w:spacing w:after="0"/>
              <w:jc w:val="left"/>
            </w:pPr>
            <w:r>
              <w:rPr>
                <w:color w:val="1E293B"/>
                <w:sz w:val="19"/>
              </w:rPr>
              <w:t>MW</w:t>
            </w:r>
          </w:p>
        </w:tc>
        <w:tc>
          <w:tcPr>
            <w:tcW w:type="dxa" w:w="1152"/>
            <w:shd w:fill="FFFFFF"/>
            <w:tcMar>
              <w:top w:w="80" w:type="dxa"/>
              <w:bottom w:w="80" w:type="dxa"/>
              <w:left w:w="120" w:type="dxa"/>
              <w:right w:w="120" w:type="dxa"/>
            </w:tcMar>
          </w:tcPr>
          <w:p>
            <w:pPr>
              <w:spacing w:after="0"/>
              <w:jc w:val="right"/>
            </w:pPr>
            <w:r>
              <w:rPr>
                <w:color w:val="1E293B"/>
                <w:sz w:val="19"/>
              </w:rPr>
              <w:t>54,768</w:t>
            </w:r>
          </w:p>
        </w:tc>
        <w:tc>
          <w:tcPr>
            <w:tcW w:type="dxa" w:w="1584"/>
            <w:shd w:fill="FFFFFF"/>
            <w:tcMar>
              <w:top w:w="80" w:type="dxa"/>
              <w:bottom w:w="80" w:type="dxa"/>
              <w:left w:w="120" w:type="dxa"/>
              <w:right w:w="120" w:type="dxa"/>
            </w:tcMar>
          </w:tcPr>
          <w:p>
            <w:pPr>
              <w:spacing w:after="0"/>
              <w:jc w:val="right"/>
            </w:pPr>
            <w:r>
              <w:rPr>
                <w:color w:val="1E293B"/>
                <w:sz w:val="19"/>
              </w:rPr>
              <w:t>250.97 ± 10.69</w:t>
            </w:r>
          </w:p>
        </w:tc>
        <w:tc>
          <w:tcPr>
            <w:tcW w:type="dxa" w:w="1440"/>
            <w:shd w:fill="FFFFFF"/>
            <w:tcMar>
              <w:top w:w="80" w:type="dxa"/>
              <w:bottom w:w="80" w:type="dxa"/>
              <w:left w:w="120" w:type="dxa"/>
              <w:right w:w="120" w:type="dxa"/>
            </w:tcMar>
          </w:tcPr>
          <w:p>
            <w:pPr>
              <w:spacing w:after="0"/>
              <w:jc w:val="right"/>
            </w:pPr>
            <w:r>
              <w:rPr>
                <w:color w:val="1E293B"/>
                <w:sz w:val="19"/>
              </w:rPr>
              <w:t>259.33 ± 6.78</w:t>
            </w:r>
          </w:p>
        </w:tc>
        <w:tc>
          <w:tcPr>
            <w:tcW w:type="dxa" w:w="1440"/>
            <w:shd w:fill="FFFFFF"/>
            <w:tcMar>
              <w:top w:w="80" w:type="dxa"/>
              <w:bottom w:w="80" w:type="dxa"/>
              <w:left w:w="120" w:type="dxa"/>
              <w:right w:w="120" w:type="dxa"/>
            </w:tcMar>
          </w:tcPr>
          <w:p>
            <w:pPr>
              <w:spacing w:after="0"/>
              <w:jc w:val="right"/>
            </w:pPr>
            <w:r>
              <w:rPr>
                <w:color w:val="1E293B"/>
                <w:sz w:val="19"/>
              </w:rPr>
              <w:t>291.73 ± 8.45</w:t>
            </w:r>
          </w:p>
        </w:tc>
        <w:tc>
          <w:tcPr>
            <w:tcW w:type="dxa" w:w="1440"/>
            <w:shd w:fill="FFFFFF"/>
            <w:tcMar>
              <w:top w:w="80" w:type="dxa"/>
              <w:bottom w:w="80" w:type="dxa"/>
              <w:left w:w="120" w:type="dxa"/>
              <w:right w:w="120" w:type="dxa"/>
            </w:tcMar>
          </w:tcPr>
          <w:p>
            <w:pPr>
              <w:spacing w:after="0"/>
              <w:jc w:val="right"/>
            </w:pPr>
            <w:r>
              <w:rPr>
                <w:color w:val="1E293B"/>
                <w:sz w:val="19"/>
              </w:rPr>
              <w:t>279.83 ± 5.12</w:t>
            </w:r>
          </w:p>
        </w:tc>
      </w:tr>
      <w:tr>
        <w:tc>
          <w:tcPr>
            <w:tcW w:type="dxa" w:w="2016"/>
            <w:shd w:fill="F8FAFC"/>
            <w:tcMar>
              <w:top w:w="80" w:type="dxa"/>
              <w:bottom w:w="80" w:type="dxa"/>
              <w:left w:w="120" w:type="dxa"/>
              <w:right w:w="120" w:type="dxa"/>
            </w:tcMar>
          </w:tcPr>
          <w:p>
            <w:pPr>
              <w:spacing w:after="0"/>
              <w:jc w:val="left"/>
            </w:pPr>
            <w:r>
              <w:rPr>
                <w:color w:val="1E293B"/>
                <w:sz w:val="19"/>
              </w:rPr>
              <w:t>GEFCom2014 (15 Tasks)</w:t>
            </w:r>
          </w:p>
        </w:tc>
        <w:tc>
          <w:tcPr>
            <w:tcW w:type="dxa" w:w="1008"/>
            <w:shd w:fill="F8FAFC"/>
            <w:tcMar>
              <w:top w:w="80" w:type="dxa"/>
              <w:bottom w:w="80" w:type="dxa"/>
              <w:left w:w="120" w:type="dxa"/>
              <w:right w:w="120" w:type="dxa"/>
            </w:tcMar>
          </w:tcPr>
          <w:p>
            <w:pPr>
              <w:spacing w:after="0"/>
              <w:jc w:val="left"/>
            </w:pPr>
            <w:r>
              <w:rPr>
                <w:color w:val="1E293B"/>
                <w:sz w:val="19"/>
              </w:rPr>
              <w:t>kW</w:t>
            </w:r>
          </w:p>
        </w:tc>
        <w:tc>
          <w:tcPr>
            <w:tcW w:type="dxa" w:w="1152"/>
            <w:shd w:fill="F8FAFC"/>
            <w:tcMar>
              <w:top w:w="80" w:type="dxa"/>
              <w:bottom w:w="80" w:type="dxa"/>
              <w:left w:w="120" w:type="dxa"/>
              <w:right w:w="120" w:type="dxa"/>
            </w:tcMar>
          </w:tcPr>
          <w:p>
            <w:pPr>
              <w:spacing w:after="0"/>
              <w:jc w:val="right"/>
            </w:pPr>
            <w:r>
              <w:rPr>
                <w:color w:val="1E293B"/>
                <w:sz w:val="19"/>
              </w:rPr>
              <w:t>15 x 744</w:t>
            </w:r>
          </w:p>
        </w:tc>
        <w:tc>
          <w:tcPr>
            <w:tcW w:type="dxa" w:w="1584"/>
            <w:shd w:fill="F8FAFC"/>
            <w:tcMar>
              <w:top w:w="80" w:type="dxa"/>
              <w:bottom w:w="80" w:type="dxa"/>
              <w:left w:w="120" w:type="dxa"/>
              <w:right w:w="120" w:type="dxa"/>
            </w:tcMar>
          </w:tcPr>
          <w:p>
            <w:pPr>
              <w:spacing w:after="0"/>
              <w:jc w:val="right"/>
            </w:pPr>
            <w:r>
              <w:rPr>
                <w:color w:val="1E293B"/>
                <w:sz w:val="19"/>
              </w:rPr>
              <w:t>12.41 ± 0.15</w:t>
            </w:r>
          </w:p>
        </w:tc>
        <w:tc>
          <w:tcPr>
            <w:tcW w:type="dxa" w:w="1440"/>
            <w:shd w:fill="F8FAFC"/>
            <w:tcMar>
              <w:top w:w="80" w:type="dxa"/>
              <w:bottom w:w="80" w:type="dxa"/>
              <w:left w:w="120" w:type="dxa"/>
              <w:right w:w="120" w:type="dxa"/>
            </w:tcMar>
          </w:tcPr>
          <w:p>
            <w:pPr>
              <w:spacing w:after="0"/>
              <w:jc w:val="right"/>
            </w:pPr>
            <w:r>
              <w:rPr>
                <w:color w:val="1E293B"/>
                <w:sz w:val="19"/>
              </w:rPr>
              <w:t>12.57 ± 0.18</w:t>
            </w:r>
          </w:p>
        </w:tc>
        <w:tc>
          <w:tcPr>
            <w:tcW w:type="dxa" w:w="1440"/>
            <w:shd w:fill="F8FAFC"/>
            <w:tcMar>
              <w:top w:w="80" w:type="dxa"/>
              <w:bottom w:w="80" w:type="dxa"/>
              <w:left w:w="120" w:type="dxa"/>
              <w:right w:w="120" w:type="dxa"/>
            </w:tcMar>
          </w:tcPr>
          <w:p>
            <w:pPr>
              <w:spacing w:after="0"/>
              <w:jc w:val="right"/>
            </w:pPr>
            <w:r>
              <w:rPr>
                <w:color w:val="1E293B"/>
                <w:sz w:val="19"/>
              </w:rPr>
              <w:t>13.23 ± 0.22</w:t>
            </w:r>
          </w:p>
        </w:tc>
        <w:tc>
          <w:tcPr>
            <w:tcW w:type="dxa" w:w="1440"/>
            <w:shd w:fill="F8FAFC"/>
            <w:tcMar>
              <w:top w:w="80" w:type="dxa"/>
              <w:bottom w:w="80" w:type="dxa"/>
              <w:left w:w="120" w:type="dxa"/>
              <w:right w:w="120" w:type="dxa"/>
            </w:tcMar>
          </w:tcPr>
          <w:p>
            <w:pPr>
              <w:spacing w:after="0"/>
              <w:jc w:val="right"/>
            </w:pPr>
            <w:r>
              <w:rPr>
                <w:color w:val="1E293B"/>
                <w:sz w:val="19"/>
              </w:rPr>
              <w:t>12.62 ± 0.14</w:t>
            </w:r>
          </w:p>
        </w:tc>
      </w:tr>
      <w:tr>
        <w:tc>
          <w:tcPr>
            <w:tcW w:type="dxa" w:w="2016"/>
            <w:shd w:fill="FFFFFF"/>
            <w:tcMar>
              <w:top w:w="80" w:type="dxa"/>
              <w:bottom w:w="80" w:type="dxa"/>
              <w:left w:w="120" w:type="dxa"/>
              <w:right w:w="120" w:type="dxa"/>
            </w:tcMar>
          </w:tcPr>
          <w:p>
            <w:pPr>
              <w:spacing w:after="0"/>
              <w:jc w:val="left"/>
            </w:pPr>
            <w:r>
              <w:rPr>
                <w:color w:val="1E293B"/>
                <w:sz w:val="19"/>
              </w:rPr>
              <w:t>UCI Electricity (321 Clients)</w:t>
            </w:r>
          </w:p>
        </w:tc>
        <w:tc>
          <w:tcPr>
            <w:tcW w:type="dxa" w:w="1008"/>
            <w:shd w:fill="FFFFFF"/>
            <w:tcMar>
              <w:top w:w="80" w:type="dxa"/>
              <w:bottom w:w="80" w:type="dxa"/>
              <w:left w:w="120" w:type="dxa"/>
              <w:right w:w="120" w:type="dxa"/>
            </w:tcMar>
          </w:tcPr>
          <w:p>
            <w:pPr>
              <w:spacing w:after="0"/>
              <w:jc w:val="left"/>
            </w:pPr>
            <w:r>
              <w:rPr>
                <w:color w:val="1E293B"/>
                <w:sz w:val="19"/>
              </w:rPr>
              <w:t>MW</w:t>
            </w:r>
          </w:p>
        </w:tc>
        <w:tc>
          <w:tcPr>
            <w:tcW w:type="dxa" w:w="1152"/>
            <w:shd w:fill="FFFFFF"/>
            <w:tcMar>
              <w:top w:w="80" w:type="dxa"/>
              <w:bottom w:w="80" w:type="dxa"/>
              <w:left w:w="120" w:type="dxa"/>
              <w:right w:w="120" w:type="dxa"/>
            </w:tcMar>
          </w:tcPr>
          <w:p>
            <w:pPr>
              <w:spacing w:after="0"/>
              <w:jc w:val="right"/>
            </w:pPr>
            <w:r>
              <w:rPr>
                <w:color w:val="1E293B"/>
                <w:sz w:val="19"/>
              </w:rPr>
              <w:t>26,304</w:t>
            </w:r>
          </w:p>
        </w:tc>
        <w:tc>
          <w:tcPr>
            <w:tcW w:type="dxa" w:w="1584"/>
            <w:shd w:fill="FFFFFF"/>
            <w:tcMar>
              <w:top w:w="80" w:type="dxa"/>
              <w:bottom w:w="80" w:type="dxa"/>
              <w:left w:w="120" w:type="dxa"/>
              <w:right w:w="120" w:type="dxa"/>
            </w:tcMar>
          </w:tcPr>
          <w:p>
            <w:pPr>
              <w:spacing w:after="0"/>
              <w:jc w:val="right"/>
            </w:pPr>
            <w:r>
              <w:rPr>
                <w:color w:val="1E293B"/>
                <w:sz w:val="19"/>
              </w:rPr>
              <w:t>7.74 ± 0.30</w:t>
            </w:r>
          </w:p>
        </w:tc>
        <w:tc>
          <w:tcPr>
            <w:tcW w:type="dxa" w:w="1440"/>
            <w:shd w:fill="FFFFFF"/>
            <w:tcMar>
              <w:top w:w="80" w:type="dxa"/>
              <w:bottom w:w="80" w:type="dxa"/>
              <w:left w:w="120" w:type="dxa"/>
              <w:right w:w="120" w:type="dxa"/>
            </w:tcMar>
          </w:tcPr>
          <w:p>
            <w:pPr>
              <w:spacing w:after="0"/>
              <w:jc w:val="right"/>
            </w:pPr>
            <w:r>
              <w:rPr>
                <w:color w:val="1E293B"/>
                <w:sz w:val="19"/>
              </w:rPr>
              <w:t>8.34 ± 0.35</w:t>
            </w:r>
          </w:p>
        </w:tc>
        <w:tc>
          <w:tcPr>
            <w:tcW w:type="dxa" w:w="1440"/>
            <w:shd w:fill="FFFFFF"/>
            <w:tcMar>
              <w:top w:w="80" w:type="dxa"/>
              <w:bottom w:w="80" w:type="dxa"/>
              <w:left w:w="120" w:type="dxa"/>
              <w:right w:w="120" w:type="dxa"/>
            </w:tcMar>
          </w:tcPr>
          <w:p>
            <w:pPr>
              <w:spacing w:after="0"/>
              <w:jc w:val="right"/>
            </w:pPr>
            <w:r>
              <w:rPr>
                <w:color w:val="1E293B"/>
                <w:sz w:val="19"/>
              </w:rPr>
              <w:t>7.55 ± 0.28</w:t>
            </w:r>
          </w:p>
        </w:tc>
        <w:tc>
          <w:tcPr>
            <w:tcW w:type="dxa" w:w="1440"/>
            <w:shd w:fill="FFFFFF"/>
            <w:tcMar>
              <w:top w:w="80" w:type="dxa"/>
              <w:bottom w:w="80" w:type="dxa"/>
              <w:left w:w="120" w:type="dxa"/>
              <w:right w:w="120" w:type="dxa"/>
            </w:tcMar>
          </w:tcPr>
          <w:p>
            <w:pPr>
              <w:spacing w:after="0"/>
              <w:jc w:val="right"/>
            </w:pPr>
            <w:r>
              <w:rPr>
                <w:color w:val="1E293B"/>
                <w:sz w:val="19"/>
              </w:rPr>
              <w:t>8.17 ± 0.25</w:t>
            </w:r>
          </w:p>
        </w:tc>
      </w:tr>
    </w:tbl>
    <w:p>
      <w:pPr>
        <w:spacing w:after="160"/>
      </w:pPr>
    </w:p>
    <w:p>
      <w:pPr>
        <w:keepNext/>
        <w:spacing w:before="160" w:after="80"/>
        <w:jc w:val="center"/>
      </w:pPr>
      <w:r>
        <w:drawing>
          <wp:inline xmlns:a="http://schemas.openxmlformats.org/drawingml/2006/main" xmlns:pic="http://schemas.openxmlformats.org/drawingml/2006/picture">
            <wp:extent cx="5486400" cy="1842224"/>
            <wp:docPr id="11" name="Picture 11"/>
            <wp:cNvGraphicFramePr>
              <a:graphicFrameLocks noChangeAspect="1"/>
            </wp:cNvGraphicFramePr>
            <a:graphic>
              <a:graphicData uri="http://schemas.openxmlformats.org/drawingml/2006/picture">
                <pic:pic>
                  <pic:nvPicPr>
                    <pic:cNvPr id="0" name="fig_tri_dataset_benchmark_comparison.png"/>
                    <pic:cNvPicPr/>
                  </pic:nvPicPr>
                  <pic:blipFill>
                    <a:blip r:embed="rId19"/>
                    <a:stretch>
                      <a:fillRect/>
                    </a:stretch>
                  </pic:blipFill>
                  <pic:spPr>
                    <a:xfrm>
                      <a:off x="0" y="0"/>
                      <a:ext cx="5486400" cy="1842224"/>
                    </a:xfrm>
                    <a:prstGeom prst="rect"/>
                  </pic:spPr>
                </pic:pic>
              </a:graphicData>
            </a:graphic>
          </wp:inline>
        </w:drawing>
      </w:r>
    </w:p>
    <w:p>
      <w:pPr>
        <w:spacing w:before="40" w:after="240"/>
        <w:jc w:val="center"/>
      </w:pPr>
      <w:r>
        <w:rPr>
          <w:i/>
          <w:color w:val="64748B"/>
          <w:sz w:val="19"/>
        </w:rPr>
        <w:t>Fig. 11: Cross-Dataset Multi-Grid Benchmark Comparison (PJM, GEFCom2014, UCI).</w:t>
      </w:r>
    </w:p>
    <w:p>
      <w:pPr>
        <w:keepNext/>
        <w:spacing w:before="280" w:after="80"/>
      </w:pPr>
      <w:r>
        <w:rPr>
          <w:b/>
          <w:color w:val="2C3E50"/>
          <w:sz w:val="26"/>
        </w:rPr>
        <w:t>5.5 Statistical Significance &amp; Non-Overlapping Block Testing</w:t>
      </w:r>
    </w:p>
    <w:p>
      <w:pPr>
        <w:spacing w:after="100" w:line="276" w:lineRule="auto"/>
      </w:pPr>
      <w:r>
        <w:t>In rolling-window STLF with a 1-hour stride, consecutive 24-hour forecast trajectories share 23 hours of ground truth, violating the independent and identically distributed (i.i.d.) assumption of standard hypothesis tests. To rigorously establish statistical significance, we partitioned the held-out test set into K = 53 non-overlapping 24-hour daily blocks and conducted paired t-tests and Wilcoxon signed-rank tests.</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560"/>
        <w:gridCol w:w="1560"/>
        <w:gridCol w:w="1560"/>
        <w:gridCol w:w="1560"/>
        <w:gridCol w:w="1560"/>
        <w:gridCol w:w="1560"/>
      </w:tblGrid>
      <w:tr>
        <w:tc>
          <w:tcPr>
            <w:tcW w:type="dxa" w:w="2304"/>
            <w:shd w:fill="1B365D"/>
            <w:tcMar>
              <w:top w:w="100" w:type="dxa"/>
              <w:bottom w:w="100" w:type="dxa"/>
              <w:left w:w="120" w:type="dxa"/>
              <w:right w:w="120" w:type="dxa"/>
            </w:tcMar>
          </w:tcPr>
          <w:p>
            <w:pPr>
              <w:spacing w:after="0"/>
              <w:jc w:val="center"/>
            </w:pPr>
            <w:r>
              <w:rPr>
                <w:b/>
                <w:color w:val="FFFFFF"/>
                <w:sz w:val="19"/>
              </w:rPr>
              <w:t>Paired Model Comparison</w:t>
            </w:r>
          </w:p>
        </w:tc>
        <w:tc>
          <w:tcPr>
            <w:tcW w:type="dxa" w:w="1152"/>
            <w:shd w:fill="1B365D"/>
            <w:tcMar>
              <w:top w:w="100" w:type="dxa"/>
              <w:bottom w:w="100" w:type="dxa"/>
              <w:left w:w="120" w:type="dxa"/>
              <w:right w:w="120" w:type="dxa"/>
            </w:tcMar>
          </w:tcPr>
          <w:p>
            <w:pPr>
              <w:spacing w:after="0"/>
              <w:jc w:val="center"/>
            </w:pPr>
            <w:r>
              <w:rPr>
                <w:b/>
                <w:color w:val="FFFFFF"/>
                <w:sz w:val="19"/>
              </w:rPr>
              <w:t>Daily Blocks (K)</w:t>
            </w:r>
          </w:p>
        </w:tc>
        <w:tc>
          <w:tcPr>
            <w:tcW w:type="dxa" w:w="1584"/>
            <w:shd w:fill="1B365D"/>
            <w:tcMar>
              <w:top w:w="100" w:type="dxa"/>
              <w:bottom w:w="100" w:type="dxa"/>
              <w:left w:w="120" w:type="dxa"/>
              <w:right w:w="120" w:type="dxa"/>
            </w:tcMar>
          </w:tcPr>
          <w:p>
            <w:pPr>
              <w:spacing w:after="0"/>
              <w:jc w:val="center"/>
            </w:pPr>
            <w:r>
              <w:rPr>
                <w:b/>
                <w:color w:val="FFFFFF"/>
                <w:sz w:val="19"/>
              </w:rPr>
              <w:t>Mean MAE Diff (MW)</w:t>
            </w:r>
          </w:p>
        </w:tc>
        <w:tc>
          <w:tcPr>
            <w:tcW w:type="dxa" w:w="1872"/>
            <w:shd w:fill="1B365D"/>
            <w:tcMar>
              <w:top w:w="100" w:type="dxa"/>
              <w:bottom w:w="100" w:type="dxa"/>
              <w:left w:w="120" w:type="dxa"/>
              <w:right w:w="120" w:type="dxa"/>
            </w:tcMar>
          </w:tcPr>
          <w:p>
            <w:pPr>
              <w:spacing w:after="0"/>
              <w:jc w:val="center"/>
            </w:pPr>
            <w:r>
              <w:rPr>
                <w:b/>
                <w:color w:val="FFFFFF"/>
                <w:sz w:val="19"/>
              </w:rPr>
              <w:t>Paired t-test (p-value)</w:t>
            </w:r>
          </w:p>
        </w:tc>
        <w:tc>
          <w:tcPr>
            <w:tcW w:type="dxa" w:w="1728"/>
            <w:shd w:fill="1B365D"/>
            <w:tcMar>
              <w:top w:w="100" w:type="dxa"/>
              <w:bottom w:w="100" w:type="dxa"/>
              <w:left w:w="120" w:type="dxa"/>
              <w:right w:w="120" w:type="dxa"/>
            </w:tcMar>
          </w:tcPr>
          <w:p>
            <w:pPr>
              <w:spacing w:after="0"/>
              <w:jc w:val="center"/>
            </w:pPr>
            <w:r>
              <w:rPr>
                <w:b/>
                <w:color w:val="FFFFFF"/>
                <w:sz w:val="19"/>
              </w:rPr>
              <w:t>Wilcoxon Signed-Rank</w:t>
            </w:r>
          </w:p>
        </w:tc>
        <w:tc>
          <w:tcPr>
            <w:tcW w:type="dxa" w:w="1440"/>
            <w:shd w:fill="1B365D"/>
            <w:tcMar>
              <w:top w:w="100" w:type="dxa"/>
              <w:bottom w:w="100" w:type="dxa"/>
              <w:left w:w="120" w:type="dxa"/>
              <w:right w:w="120" w:type="dxa"/>
            </w:tcMar>
          </w:tcPr>
          <w:p>
            <w:pPr>
              <w:spacing w:after="0"/>
              <w:jc w:val="center"/>
            </w:pPr>
            <w:r>
              <w:rPr>
                <w:b/>
                <w:color w:val="FFFFFF"/>
                <w:sz w:val="19"/>
              </w:rPr>
              <w:t>Holm-Bonferroni Status</w:t>
            </w:r>
          </w:p>
        </w:tc>
      </w:tr>
      <w:tr>
        <w:tc>
          <w:tcPr>
            <w:tcW w:type="dxa" w:w="2304"/>
            <w:shd w:fill="FFFFFF"/>
            <w:tcMar>
              <w:top w:w="80" w:type="dxa"/>
              <w:bottom w:w="80" w:type="dxa"/>
              <w:left w:w="120" w:type="dxa"/>
              <w:right w:w="120" w:type="dxa"/>
            </w:tcMar>
          </w:tcPr>
          <w:p>
            <w:pPr>
              <w:spacing w:after="0"/>
              <w:jc w:val="left"/>
            </w:pPr>
            <w:r>
              <w:rPr>
                <w:color w:val="1E293B"/>
                <w:sz w:val="19"/>
              </w:rPr>
              <w:t>CAEG-Net vs. LSTM Expert</w:t>
            </w:r>
          </w:p>
        </w:tc>
        <w:tc>
          <w:tcPr>
            <w:tcW w:type="dxa" w:w="1152"/>
            <w:shd w:fill="FFFFFF"/>
            <w:tcMar>
              <w:top w:w="80" w:type="dxa"/>
              <w:bottom w:w="80" w:type="dxa"/>
              <w:left w:w="120" w:type="dxa"/>
              <w:right w:w="120" w:type="dxa"/>
            </w:tcMar>
          </w:tcPr>
          <w:p>
            <w:pPr>
              <w:spacing w:after="0"/>
              <w:jc w:val="right"/>
            </w:pPr>
            <w:r>
              <w:rPr>
                <w:color w:val="1E293B"/>
                <w:sz w:val="19"/>
              </w:rPr>
              <w:t>K = 53</w:t>
            </w:r>
          </w:p>
        </w:tc>
        <w:tc>
          <w:tcPr>
            <w:tcW w:type="dxa" w:w="1584"/>
            <w:shd w:fill="FFFFFF"/>
            <w:tcMar>
              <w:top w:w="80" w:type="dxa"/>
              <w:bottom w:w="80" w:type="dxa"/>
              <w:left w:w="120" w:type="dxa"/>
              <w:right w:w="120" w:type="dxa"/>
            </w:tcMar>
          </w:tcPr>
          <w:p>
            <w:pPr>
              <w:spacing w:after="0"/>
              <w:jc w:val="right"/>
            </w:pPr>
            <w:r>
              <w:rPr>
                <w:color w:val="1E293B"/>
                <w:sz w:val="19"/>
              </w:rPr>
              <w:t>-40.76 MW</w:t>
            </w:r>
          </w:p>
        </w:tc>
        <w:tc>
          <w:tcPr>
            <w:tcW w:type="dxa" w:w="1872"/>
            <w:shd w:fill="FFFFFF"/>
            <w:tcMar>
              <w:top w:w="80" w:type="dxa"/>
              <w:bottom w:w="80" w:type="dxa"/>
              <w:left w:w="120" w:type="dxa"/>
              <w:right w:w="120" w:type="dxa"/>
            </w:tcMar>
          </w:tcPr>
          <w:p>
            <w:pPr>
              <w:spacing w:after="0"/>
              <w:jc w:val="left"/>
            </w:pPr>
            <w:r>
              <w:rPr>
                <w:color w:val="1E293B"/>
                <w:sz w:val="19"/>
              </w:rPr>
              <w:t>t = -6.14 (p = 8.41e-8)</w:t>
            </w:r>
          </w:p>
        </w:tc>
        <w:tc>
          <w:tcPr>
            <w:tcW w:type="dxa" w:w="1728"/>
            <w:shd w:fill="FFFFFF"/>
            <w:tcMar>
              <w:top w:w="80" w:type="dxa"/>
              <w:bottom w:w="80" w:type="dxa"/>
              <w:left w:w="120" w:type="dxa"/>
              <w:right w:w="120" w:type="dxa"/>
            </w:tcMar>
          </w:tcPr>
          <w:p>
            <w:pPr>
              <w:spacing w:after="0"/>
              <w:jc w:val="left"/>
            </w:pPr>
            <w:r>
              <w:rPr>
                <w:color w:val="1E293B"/>
                <w:sz w:val="19"/>
              </w:rPr>
              <w:t>W = 112 (p = 1.24e-7)</w:t>
            </w:r>
          </w:p>
        </w:tc>
        <w:tc>
          <w:tcPr>
            <w:tcW w:type="dxa" w:w="1440"/>
            <w:shd w:fill="FFFFFF"/>
            <w:tcMar>
              <w:top w:w="80" w:type="dxa"/>
              <w:bottom w:w="80" w:type="dxa"/>
              <w:left w:w="120" w:type="dxa"/>
              <w:right w:w="120" w:type="dxa"/>
            </w:tcMar>
          </w:tcPr>
          <w:p>
            <w:pPr>
              <w:spacing w:after="0"/>
              <w:jc w:val="left"/>
            </w:pPr>
            <w:r>
              <w:rPr>
                <w:color w:val="1E293B"/>
                <w:sz w:val="19"/>
              </w:rPr>
              <w:t>Significant (Reject H0)</w:t>
            </w:r>
          </w:p>
        </w:tc>
      </w:tr>
      <w:tr>
        <w:tc>
          <w:tcPr>
            <w:tcW w:type="dxa" w:w="2304"/>
            <w:shd w:fill="F8FAFC"/>
            <w:tcMar>
              <w:top w:w="80" w:type="dxa"/>
              <w:bottom w:w="80" w:type="dxa"/>
              <w:left w:w="120" w:type="dxa"/>
              <w:right w:w="120" w:type="dxa"/>
            </w:tcMar>
          </w:tcPr>
          <w:p>
            <w:pPr>
              <w:spacing w:after="0"/>
              <w:jc w:val="left"/>
            </w:pPr>
            <w:r>
              <w:rPr>
                <w:color w:val="1E293B"/>
                <w:sz w:val="19"/>
              </w:rPr>
              <w:t>CAEG-Net vs. Static Equal Ensemble</w:t>
            </w:r>
          </w:p>
        </w:tc>
        <w:tc>
          <w:tcPr>
            <w:tcW w:type="dxa" w:w="1152"/>
            <w:shd w:fill="F8FAFC"/>
            <w:tcMar>
              <w:top w:w="80" w:type="dxa"/>
              <w:bottom w:w="80" w:type="dxa"/>
              <w:left w:w="120" w:type="dxa"/>
              <w:right w:w="120" w:type="dxa"/>
            </w:tcMar>
          </w:tcPr>
          <w:p>
            <w:pPr>
              <w:spacing w:after="0"/>
              <w:jc w:val="right"/>
            </w:pPr>
            <w:r>
              <w:rPr>
                <w:color w:val="1E293B"/>
                <w:sz w:val="19"/>
              </w:rPr>
              <w:t>K = 53</w:t>
            </w:r>
          </w:p>
        </w:tc>
        <w:tc>
          <w:tcPr>
            <w:tcW w:type="dxa" w:w="1584"/>
            <w:shd w:fill="F8FAFC"/>
            <w:tcMar>
              <w:top w:w="80" w:type="dxa"/>
              <w:bottom w:w="80" w:type="dxa"/>
              <w:left w:w="120" w:type="dxa"/>
              <w:right w:w="120" w:type="dxa"/>
            </w:tcMar>
          </w:tcPr>
          <w:p>
            <w:pPr>
              <w:spacing w:after="0"/>
              <w:jc w:val="right"/>
            </w:pPr>
            <w:r>
              <w:rPr>
                <w:color w:val="1E293B"/>
                <w:sz w:val="19"/>
              </w:rPr>
              <w:t>-28.86 MW</w:t>
            </w:r>
          </w:p>
        </w:tc>
        <w:tc>
          <w:tcPr>
            <w:tcW w:type="dxa" w:w="1872"/>
            <w:shd w:fill="F8FAFC"/>
            <w:tcMar>
              <w:top w:w="80" w:type="dxa"/>
              <w:bottom w:w="80" w:type="dxa"/>
              <w:left w:w="120" w:type="dxa"/>
              <w:right w:w="120" w:type="dxa"/>
            </w:tcMar>
          </w:tcPr>
          <w:p>
            <w:pPr>
              <w:spacing w:after="0"/>
              <w:jc w:val="left"/>
            </w:pPr>
            <w:r>
              <w:rPr>
                <w:color w:val="1E293B"/>
                <w:sz w:val="19"/>
              </w:rPr>
              <w:t>t = -4.82 (p = 7.82e-6)</w:t>
            </w:r>
          </w:p>
        </w:tc>
        <w:tc>
          <w:tcPr>
            <w:tcW w:type="dxa" w:w="1728"/>
            <w:shd w:fill="F8FAFC"/>
            <w:tcMar>
              <w:top w:w="80" w:type="dxa"/>
              <w:bottom w:w="80" w:type="dxa"/>
              <w:left w:w="120" w:type="dxa"/>
              <w:right w:w="120" w:type="dxa"/>
            </w:tcMar>
          </w:tcPr>
          <w:p>
            <w:pPr>
              <w:spacing w:after="0"/>
              <w:jc w:val="left"/>
            </w:pPr>
            <w:r>
              <w:rPr>
                <w:color w:val="1E293B"/>
                <w:sz w:val="19"/>
              </w:rPr>
              <w:t>W = 184 (p = 1.04e-5)</w:t>
            </w:r>
          </w:p>
        </w:tc>
        <w:tc>
          <w:tcPr>
            <w:tcW w:type="dxa" w:w="1440"/>
            <w:shd w:fill="F8FAFC"/>
            <w:tcMar>
              <w:top w:w="80" w:type="dxa"/>
              <w:bottom w:w="80" w:type="dxa"/>
              <w:left w:w="120" w:type="dxa"/>
              <w:right w:w="120" w:type="dxa"/>
            </w:tcMar>
          </w:tcPr>
          <w:p>
            <w:pPr>
              <w:spacing w:after="0"/>
              <w:jc w:val="left"/>
            </w:pPr>
            <w:r>
              <w:rPr>
                <w:color w:val="1E293B"/>
                <w:sz w:val="19"/>
              </w:rPr>
              <w:t>Significant (Reject H0)</w:t>
            </w:r>
          </w:p>
        </w:tc>
      </w:tr>
      <w:tr>
        <w:tc>
          <w:tcPr>
            <w:tcW w:type="dxa" w:w="2304"/>
            <w:shd w:fill="FFFFFF"/>
            <w:tcMar>
              <w:top w:w="80" w:type="dxa"/>
              <w:bottom w:w="80" w:type="dxa"/>
              <w:left w:w="120" w:type="dxa"/>
              <w:right w:w="120" w:type="dxa"/>
            </w:tcMar>
          </w:tcPr>
          <w:p>
            <w:pPr>
              <w:spacing w:after="0"/>
              <w:jc w:val="left"/>
            </w:pPr>
            <w:r>
              <w:rPr>
                <w:color w:val="1E293B"/>
                <w:sz w:val="19"/>
              </w:rPr>
              <w:t>CAEG-Net vs. TCN Expert</w:t>
            </w:r>
          </w:p>
        </w:tc>
        <w:tc>
          <w:tcPr>
            <w:tcW w:type="dxa" w:w="1152"/>
            <w:shd w:fill="FFFFFF"/>
            <w:tcMar>
              <w:top w:w="80" w:type="dxa"/>
              <w:bottom w:w="80" w:type="dxa"/>
              <w:left w:w="120" w:type="dxa"/>
              <w:right w:w="120" w:type="dxa"/>
            </w:tcMar>
          </w:tcPr>
          <w:p>
            <w:pPr>
              <w:spacing w:after="0"/>
              <w:jc w:val="right"/>
            </w:pPr>
            <w:r>
              <w:rPr>
                <w:color w:val="1E293B"/>
                <w:sz w:val="19"/>
              </w:rPr>
              <w:t>K = 53</w:t>
            </w:r>
          </w:p>
        </w:tc>
        <w:tc>
          <w:tcPr>
            <w:tcW w:type="dxa" w:w="1584"/>
            <w:shd w:fill="FFFFFF"/>
            <w:tcMar>
              <w:top w:w="80" w:type="dxa"/>
              <w:bottom w:w="80" w:type="dxa"/>
              <w:left w:w="120" w:type="dxa"/>
              <w:right w:w="120" w:type="dxa"/>
            </w:tcMar>
          </w:tcPr>
          <w:p>
            <w:pPr>
              <w:spacing w:after="0"/>
              <w:jc w:val="right"/>
            </w:pPr>
            <w:r>
              <w:rPr>
                <w:color w:val="1E293B"/>
                <w:sz w:val="19"/>
              </w:rPr>
              <w:t>-8.36 MW</w:t>
            </w:r>
          </w:p>
        </w:tc>
        <w:tc>
          <w:tcPr>
            <w:tcW w:type="dxa" w:w="1872"/>
            <w:shd w:fill="FFFFFF"/>
            <w:tcMar>
              <w:top w:w="80" w:type="dxa"/>
              <w:bottom w:w="80" w:type="dxa"/>
              <w:left w:w="120" w:type="dxa"/>
              <w:right w:w="120" w:type="dxa"/>
            </w:tcMar>
          </w:tcPr>
          <w:p>
            <w:pPr>
              <w:spacing w:after="0"/>
              <w:jc w:val="left"/>
            </w:pPr>
            <w:r>
              <w:rPr>
                <w:color w:val="1E293B"/>
                <w:sz w:val="19"/>
              </w:rPr>
              <w:t>t = -2.18 (p = 0.0336)</w:t>
            </w:r>
          </w:p>
        </w:tc>
        <w:tc>
          <w:tcPr>
            <w:tcW w:type="dxa" w:w="1728"/>
            <w:shd w:fill="FFFFFF"/>
            <w:tcMar>
              <w:top w:w="80" w:type="dxa"/>
              <w:bottom w:w="80" w:type="dxa"/>
              <w:left w:w="120" w:type="dxa"/>
              <w:right w:w="120" w:type="dxa"/>
            </w:tcMar>
          </w:tcPr>
          <w:p>
            <w:pPr>
              <w:spacing w:after="0"/>
              <w:jc w:val="left"/>
            </w:pPr>
            <w:r>
              <w:rPr>
                <w:color w:val="1E293B"/>
                <w:sz w:val="19"/>
              </w:rPr>
              <w:t>W = 442 (p = 0.0412)</w:t>
            </w:r>
          </w:p>
        </w:tc>
        <w:tc>
          <w:tcPr>
            <w:tcW w:type="dxa" w:w="1440"/>
            <w:shd w:fill="FFFFFF"/>
            <w:tcMar>
              <w:top w:w="80" w:type="dxa"/>
              <w:bottom w:w="80" w:type="dxa"/>
              <w:left w:w="120" w:type="dxa"/>
              <w:right w:w="120" w:type="dxa"/>
            </w:tcMar>
          </w:tcPr>
          <w:p>
            <w:pPr>
              <w:spacing w:after="0"/>
              <w:jc w:val="left"/>
            </w:pPr>
            <w:r>
              <w:rPr>
                <w:color w:val="1E293B"/>
                <w:sz w:val="19"/>
              </w:rPr>
              <w:t>Significant (Reject H0)</w:t>
            </w:r>
          </w:p>
        </w:tc>
      </w:tr>
      <w:tr>
        <w:tc>
          <w:tcPr>
            <w:tcW w:type="dxa" w:w="2304"/>
            <w:shd w:fill="F8FAFC"/>
            <w:tcMar>
              <w:top w:w="80" w:type="dxa"/>
              <w:bottom w:w="80" w:type="dxa"/>
              <w:left w:w="120" w:type="dxa"/>
              <w:right w:w="120" w:type="dxa"/>
            </w:tcMar>
          </w:tcPr>
          <w:p>
            <w:pPr>
              <w:spacing w:after="0"/>
              <w:jc w:val="left"/>
            </w:pPr>
            <w:r>
              <w:rPr>
                <w:color w:val="1E293B"/>
                <w:sz w:val="19"/>
              </w:rPr>
              <w:t>CAEG-Net vs. Standard Input MoE</w:t>
            </w:r>
          </w:p>
        </w:tc>
        <w:tc>
          <w:tcPr>
            <w:tcW w:type="dxa" w:w="1152"/>
            <w:shd w:fill="F8FAFC"/>
            <w:tcMar>
              <w:top w:w="80" w:type="dxa"/>
              <w:bottom w:w="80" w:type="dxa"/>
              <w:left w:w="120" w:type="dxa"/>
              <w:right w:w="120" w:type="dxa"/>
            </w:tcMar>
          </w:tcPr>
          <w:p>
            <w:pPr>
              <w:spacing w:after="0"/>
              <w:jc w:val="right"/>
            </w:pPr>
            <w:r>
              <w:rPr>
                <w:color w:val="1E293B"/>
                <w:sz w:val="19"/>
              </w:rPr>
              <w:t>K = 53</w:t>
            </w:r>
          </w:p>
        </w:tc>
        <w:tc>
          <w:tcPr>
            <w:tcW w:type="dxa" w:w="1584"/>
            <w:shd w:fill="F8FAFC"/>
            <w:tcMar>
              <w:top w:w="80" w:type="dxa"/>
              <w:bottom w:w="80" w:type="dxa"/>
              <w:left w:w="120" w:type="dxa"/>
              <w:right w:w="120" w:type="dxa"/>
            </w:tcMar>
          </w:tcPr>
          <w:p>
            <w:pPr>
              <w:spacing w:after="0"/>
              <w:jc w:val="right"/>
            </w:pPr>
            <w:r>
              <w:rPr>
                <w:color w:val="1E293B"/>
                <w:sz w:val="19"/>
              </w:rPr>
              <w:t>-38.48 MW</w:t>
            </w:r>
          </w:p>
        </w:tc>
        <w:tc>
          <w:tcPr>
            <w:tcW w:type="dxa" w:w="1872"/>
            <w:shd w:fill="F8FAFC"/>
            <w:tcMar>
              <w:top w:w="80" w:type="dxa"/>
              <w:bottom w:w="80" w:type="dxa"/>
              <w:left w:w="120" w:type="dxa"/>
              <w:right w:w="120" w:type="dxa"/>
            </w:tcMar>
          </w:tcPr>
          <w:p>
            <w:pPr>
              <w:spacing w:after="0"/>
              <w:jc w:val="left"/>
            </w:pPr>
            <w:r>
              <w:rPr>
                <w:color w:val="1E293B"/>
                <w:sz w:val="19"/>
              </w:rPr>
              <w:t>t = -5.45 (p = 1.12e-6)</w:t>
            </w:r>
          </w:p>
        </w:tc>
        <w:tc>
          <w:tcPr>
            <w:tcW w:type="dxa" w:w="1728"/>
            <w:shd w:fill="F8FAFC"/>
            <w:tcMar>
              <w:top w:w="80" w:type="dxa"/>
              <w:bottom w:w="80" w:type="dxa"/>
              <w:left w:w="120" w:type="dxa"/>
              <w:right w:w="120" w:type="dxa"/>
            </w:tcMar>
          </w:tcPr>
          <w:p>
            <w:pPr>
              <w:spacing w:after="0"/>
              <w:jc w:val="left"/>
            </w:pPr>
            <w:r>
              <w:rPr>
                <w:color w:val="1E293B"/>
                <w:sz w:val="19"/>
              </w:rPr>
              <w:t>W = 145 (p = 2.15e-6)</w:t>
            </w:r>
          </w:p>
        </w:tc>
        <w:tc>
          <w:tcPr>
            <w:tcW w:type="dxa" w:w="1440"/>
            <w:shd w:fill="F8FAFC"/>
            <w:tcMar>
              <w:top w:w="80" w:type="dxa"/>
              <w:bottom w:w="80" w:type="dxa"/>
              <w:left w:w="120" w:type="dxa"/>
              <w:right w:w="120" w:type="dxa"/>
            </w:tcMar>
          </w:tcPr>
          <w:p>
            <w:pPr>
              <w:spacing w:after="0"/>
              <w:jc w:val="left"/>
            </w:pPr>
            <w:r>
              <w:rPr>
                <w:color w:val="1E293B"/>
                <w:sz w:val="19"/>
              </w:rPr>
              <w:t>Significant (Reject H0)</w:t>
            </w:r>
          </w:p>
        </w:tc>
      </w:tr>
    </w:tbl>
    <w:p>
      <w:pPr>
        <w:spacing w:after="160"/>
      </w:pPr>
    </w:p>
    <w:p>
      <w:pPr>
        <w:keepNext/>
        <w:spacing w:before="160" w:after="80"/>
        <w:jc w:val="center"/>
      </w:pPr>
      <w:r>
        <w:drawing>
          <wp:inline xmlns:a="http://schemas.openxmlformats.org/drawingml/2006/main" xmlns:pic="http://schemas.openxmlformats.org/drawingml/2006/picture">
            <wp:extent cx="5029200" cy="1535550"/>
            <wp:docPr id="12" name="Picture 12"/>
            <wp:cNvGraphicFramePr>
              <a:graphicFrameLocks noChangeAspect="1"/>
            </wp:cNvGraphicFramePr>
            <a:graphic>
              <a:graphicData uri="http://schemas.openxmlformats.org/drawingml/2006/picture">
                <pic:pic>
                  <pic:nvPicPr>
                    <pic:cNvPr id="0" name="fig_statistical_significance_daily_blocks.png"/>
                    <pic:cNvPicPr/>
                  </pic:nvPicPr>
                  <pic:blipFill>
                    <a:blip r:embed="rId20"/>
                    <a:stretch>
                      <a:fillRect/>
                    </a:stretch>
                  </pic:blipFill>
                  <pic:spPr>
                    <a:xfrm>
                      <a:off x="0" y="0"/>
                      <a:ext cx="5029200" cy="1535550"/>
                    </a:xfrm>
                    <a:prstGeom prst="rect"/>
                  </pic:spPr>
                </pic:pic>
              </a:graphicData>
            </a:graphic>
          </wp:inline>
        </w:drawing>
      </w:r>
    </w:p>
    <w:p>
      <w:pPr>
        <w:spacing w:before="40" w:after="240"/>
        <w:jc w:val="center"/>
      </w:pPr>
      <w:r>
        <w:rPr>
          <w:i/>
          <w:color w:val="64748B"/>
          <w:sz w:val="19"/>
        </w:rPr>
        <w:t>Fig. 12: Statistical Significance Distributions on Non-Overlapping Daily Blocks (K=53).</w:t>
      </w:r>
    </w:p>
    <w:p>
      <w:pPr>
        <w:keepNext/>
        <w:spacing w:before="280" w:after="80"/>
      </w:pPr>
      <w:r>
        <w:rPr>
          <w:b/>
          <w:color w:val="2C3E50"/>
          <w:sz w:val="26"/>
        </w:rPr>
        <w:t>5.6 Routing Dynamics &amp; Regime Specialization Analysis</w:t>
      </w:r>
    </w:p>
    <w:p>
      <w:pPr>
        <w:spacing w:after="100" w:line="276" w:lineRule="auto"/>
      </w:pPr>
      <w:r>
        <w:t>A central advantage of CAEG-Net is the physical interpretability of its gating router. Fig. 13 tracks the learned expert weights over the test horizon, while Fig. 14 depicts the correlation matrix between 4D context features and expert allocations.</w:t>
      </w:r>
    </w:p>
    <w:p>
      <w:pPr>
        <w:keepNext/>
        <w:spacing w:before="160" w:after="80"/>
        <w:jc w:val="center"/>
      </w:pPr>
      <w:r>
        <w:drawing>
          <wp:inline xmlns:a="http://schemas.openxmlformats.org/drawingml/2006/main" xmlns:pic="http://schemas.openxmlformats.org/drawingml/2006/picture">
            <wp:extent cx="5486400" cy="3088960"/>
            <wp:docPr id="13" name="Picture 13"/>
            <wp:cNvGraphicFramePr>
              <a:graphicFrameLocks noChangeAspect="1"/>
            </wp:cNvGraphicFramePr>
            <a:graphic>
              <a:graphicData uri="http://schemas.openxmlformats.org/drawingml/2006/picture">
                <pic:pic>
                  <pic:nvPicPr>
                    <pic:cNvPr id="0" name="fig_4_14_canonical_v1_routing_weights.png"/>
                    <pic:cNvPicPr/>
                  </pic:nvPicPr>
                  <pic:blipFill>
                    <a:blip r:embed="rId21"/>
                    <a:stretch>
                      <a:fillRect/>
                    </a:stretch>
                  </pic:blipFill>
                  <pic:spPr>
                    <a:xfrm>
                      <a:off x="0" y="0"/>
                      <a:ext cx="5486400" cy="3088960"/>
                    </a:xfrm>
                    <a:prstGeom prst="rect"/>
                  </pic:spPr>
                </pic:pic>
              </a:graphicData>
            </a:graphic>
          </wp:inline>
        </w:drawing>
      </w:r>
    </w:p>
    <w:p>
      <w:pPr>
        <w:spacing w:before="40" w:after="240"/>
        <w:jc w:val="center"/>
      </w:pPr>
      <w:r>
        <w:rPr>
          <w:i/>
          <w:color w:val="64748B"/>
          <w:sz w:val="19"/>
        </w:rPr>
        <w:t>Fig. 13: Expert Routing Weights [w_LSTM, w_TCN, w_CNN] Trajectories Over the Test Period.</w:t>
      </w:r>
    </w:p>
    <w:p>
      <w:pPr>
        <w:keepNext/>
        <w:spacing w:before="160" w:after="80"/>
        <w:jc w:val="center"/>
      </w:pPr>
      <w:r>
        <w:drawing>
          <wp:inline xmlns:a="http://schemas.openxmlformats.org/drawingml/2006/main" xmlns:pic="http://schemas.openxmlformats.org/drawingml/2006/picture">
            <wp:extent cx="5486400" cy="3048680"/>
            <wp:docPr id="14" name="Picture 14"/>
            <wp:cNvGraphicFramePr>
              <a:graphicFrameLocks noChangeAspect="1"/>
            </wp:cNvGraphicFramePr>
            <a:graphic>
              <a:graphicData uri="http://schemas.openxmlformats.org/drawingml/2006/picture">
                <pic:pic>
                  <pic:nvPicPr>
                    <pic:cNvPr id="0" name="fig_4_15_context_vs_expert_weights.png"/>
                    <pic:cNvPicPr/>
                  </pic:nvPicPr>
                  <pic:blipFill>
                    <a:blip r:embed="rId22"/>
                    <a:stretch>
                      <a:fillRect/>
                    </a:stretch>
                  </pic:blipFill>
                  <pic:spPr>
                    <a:xfrm>
                      <a:off x="0" y="0"/>
                      <a:ext cx="5486400" cy="3048680"/>
                    </a:xfrm>
                    <a:prstGeom prst="rect"/>
                  </pic:spPr>
                </pic:pic>
              </a:graphicData>
            </a:graphic>
          </wp:inline>
        </w:drawing>
      </w:r>
    </w:p>
    <w:p>
      <w:pPr>
        <w:spacing w:before="40" w:after="240"/>
        <w:jc w:val="center"/>
      </w:pPr>
      <w:r>
        <w:rPr>
          <w:i/>
          <w:color w:val="64748B"/>
          <w:sz w:val="19"/>
        </w:rPr>
        <w:t>Fig. 14: Correlation Matrix Between 4D Context Features and Expert Gating Allocations.</w:t>
      </w:r>
    </w:p>
    <w:p>
      <w:pPr>
        <w:spacing w:after="100" w:line="276" w:lineRule="auto"/>
      </w:pPr>
      <w:r>
        <w:t>Empirical inspection of routing weights across operational regimes reveals three distinct specialization patterns:</w:t>
      </w:r>
    </w:p>
    <w:p>
      <w:pPr>
        <w:spacing w:after="100" w:line="276" w:lineRule="auto"/>
      </w:pPr>
      <w:r>
        <w:rPr>
          <w:b/>
          <w:color w:val="2C3E50"/>
        </w:rPr>
        <w:t xml:space="preserve">• Steady Baseload Regime: </w:t>
      </w:r>
      <w:r>
        <w:t>During stable nighttime baseload hours (00:00–05:00 UTC), periodicity autocorrelation r_24 is high (&gt; 0.85) and volatility is low. The router allocates 55–65% of weight to the TCN expert, leveraging its dilated receptive field to project diurnal baselines.</w:t>
      </w:r>
    </w:p>
    <w:p>
      <w:pPr>
        <w:spacing w:after="100" w:line="276" w:lineRule="auto"/>
      </w:pPr>
      <w:r>
        <w:rPr>
          <w:b/>
          <w:color w:val="2C3E50"/>
        </w:rPr>
        <w:t xml:space="preserve">• Steep Morning/Evening Ramps: </w:t>
      </w:r>
      <w:r>
        <w:t>During morning ramp-up (06:00–09:00 UTC) and evening peak hours (17:00–20:00 UTC), volatility c_2 spikes by 250–400%. The router dynamically shifts 35–45% of weight to the CNN expert, exploiting its localized spatial kernels to capture steep ramp slopes.</w:t>
      </w:r>
    </w:p>
    <w:p>
      <w:pPr>
        <w:spacing w:after="100" w:line="276" w:lineRule="auto"/>
      </w:pPr>
      <w:r>
        <w:rPr>
          <w:b/>
          <w:color w:val="2C3E50"/>
        </w:rPr>
        <w:t xml:space="preserve">• Multi-Day Trend Drift: </w:t>
      </w:r>
      <w:r>
        <w:t>During sustained multi-day temperature drifts and weather transitions where trend c_1 is strongly positive or negative, the router allocates 40–50% to the LSTM expert, exploiting recurrent hidden state persistence.</w:t>
      </w:r>
    </w:p>
    <w:p>
      <w:pPr>
        <w:keepNext/>
        <w:spacing w:before="280" w:after="80"/>
      </w:pPr>
      <w:r>
        <w:rPr>
          <w:b/>
          <w:color w:val="2C3E50"/>
          <w:sz w:val="26"/>
        </w:rPr>
        <w:t>5.7 Ablation Studies</w:t>
      </w:r>
    </w:p>
    <w:p>
      <w:pPr>
        <w:spacing w:after="100" w:line="276" w:lineRule="auto"/>
      </w:pPr>
      <w:r>
        <w:t>To verify that CAEG-Net's performance gains derive from its specific architectural mechanisms rather than excess parameter capacity, two formal ablation studies were executed:</w:t>
      </w:r>
    </w:p>
    <w:p>
      <w:pPr>
        <w:spacing w:after="100" w:line="276" w:lineRule="auto"/>
      </w:pPr>
      <w:r>
        <w:rPr>
          <w:b/>
          <w:color w:val="2C3E50"/>
        </w:rPr>
        <w:t xml:space="preserve">1. Value of Causal Recent Error Feedback (3D vs. 4D Context): </w:t>
      </w:r>
      <w:r>
        <w:t>Removing causal recent forecast error (c_4) increases test MAE from 250.97 MW to 257.82 MW (+6.85 MW error increase). This confirms that closed-loop empirical error tracking provides vital information regarding model drift that cannot be inferred from historical inputs alone.</w:t>
      </w:r>
    </w:p>
    <w:p>
      <w:pPr>
        <w:spacing w:after="100" w:line="276" w:lineRule="auto"/>
      </w:pPr>
      <w:r>
        <w:rPr>
          <w:b/>
          <w:color w:val="2C3E50"/>
        </w:rPr>
        <w:t xml:space="preserve">2. Value of Dynamic Context Routing vs. Static Fusion: </w:t>
      </w:r>
      <w:r>
        <w:t>Replacing the dynamic Softmax context router with static equal weighting (w = [1/3, 1/3, 1/3]) increases test MAE from 250.97 MW to 279.83 MW (+28.86 MW error increase, +11.50% degradation). This confirms that static ensembling fails to capture regime-dependent specialization.</w:t>
      </w:r>
    </w:p>
    <w:p>
      <w:pPr>
        <w:keepNext/>
        <w:spacing w:before="280" w:after="80"/>
      </w:pPr>
      <w:r>
        <w:rPr>
          <w:b/>
          <w:color w:val="2C3E50"/>
          <w:sz w:val="26"/>
        </w:rPr>
        <w:t>5.8 Limitations and Scientific Disclosure</w:t>
      </w:r>
    </w:p>
    <w:p>
      <w:pPr>
        <w:spacing w:after="100" w:line="276" w:lineRule="auto"/>
      </w:pPr>
      <w:r>
        <w:t>In the interest of academic integrity and scientific disclosure, three limitations are noted: (1) Univariate Scope: Exogenous meteorological forecasts (temperature, solar irradiance) were omitted to benchmark pure temporal inductive biases; (2) Deterministic Point Forecasts: CAEG-Net produces deterministic 24h trajectories rather than calibrated prediction intervals; and (3) Cross-Grid Sensitivity: On grids with near-perfect industrial regularity (UCI), standalone LSTM achieves slightly lower error (7.55 MW vs. 7.74 MW), indicating that adaptive routing yields greatest utility on complex, weather-sensitive grids such as PJM.</w:t>
      </w:r>
    </w:p>
    <w:p>
      <w:pPr>
        <w:keepNext/>
        <w:spacing w:before="360" w:after="120"/>
      </w:pPr>
      <w:r>
        <w:rPr>
          <w:b/>
          <w:color w:val="1B365D"/>
          <w:sz w:val="32"/>
        </w:rPr>
        <w:t>6. Conclusion</w:t>
      </w:r>
    </w:p>
    <w:p>
      <w:pPr>
        <w:keepNext/>
        <w:spacing w:before="280" w:after="80"/>
      </w:pPr>
      <w:r>
        <w:rPr>
          <w:b/>
          <w:color w:val="2C3E50"/>
          <w:sz w:val="26"/>
        </w:rPr>
        <w:t>6.1 Summary of Findings</w:t>
      </w:r>
    </w:p>
    <w:p>
      <w:pPr>
        <w:spacing w:after="100" w:line="276" w:lineRule="auto"/>
      </w:pPr>
      <w:r>
        <w:t>This project developed, validated, and deployed CAEG-Net (Context-Adaptive Expert Gating Network), a parameter-efficient mixture-of-experts architecture for 24-hour day-ahead electricity load forecasting. By orchestrating three heterogeneous temporal experts (LSTM, TCN, CNN) through a lightweight 1,027-parameter Softmax router conditioned on a distilled 4-dimensional causal context vector, CAEG-Net resolves the fundamental inductive bias trade-offs of monolithic neural architectures.</w:t>
      </w:r>
    </w:p>
    <w:p>
      <w:pPr>
        <w:spacing w:after="100" w:line="276" w:lineRule="auto"/>
      </w:pPr>
      <w:r>
        <w:t>Rigorous 5-seed benchmarking on the Modern PJM Interconnection dataset confirms that Canonical CAEG-Net V1 (121,531 parameters) achieves an authoritative test MAE of 250.97 ± 10.69 MW, statistically outperforming standalone LSTM (-13.97% error reduction), standalone TCN (-3.22%), standalone CNN (-41.92%), static equal ensemble (-10.31%), and standard input-based MoE (-13.29%). Non-overlapping daily-block hypothesis testing (K = 53 blocks, p &lt; 0.001) confirms that improvements are statistically robust and not artifacts of rolling-window autocorrelation. Automated counterfactual perturbation tests confirm strict adherence to a zero-leakage causal protocol.</w:t>
      </w:r>
    </w:p>
    <w:p>
      <w:pPr>
        <w:keepNext/>
        <w:spacing w:before="280" w:after="80"/>
      </w:pPr>
      <w:r>
        <w:rPr>
          <w:b/>
          <w:color w:val="2C3E50"/>
          <w:sz w:val="26"/>
        </w:rPr>
        <w:t>6.2 Practical Implications for Power System Operations</w:t>
      </w:r>
    </w:p>
    <w:p>
      <w:pPr>
        <w:spacing w:after="100" w:line="276" w:lineRule="auto"/>
      </w:pPr>
      <w:r>
        <w:t>For transmission system operators, independent system operators (ISOs), and generation dispatchers, CAEG-Net offers significant operational benefits: (1) Improved Day-Ahead Scheduling: A 28.86 MW reduction in day-ahead load forecast error translates directly into lower operating reserve requirements and reduced spinning reserve fuel consumption; (2) Sub-Millisecond Decision Latency: With only 121,531 parameters, CAEG-Net executes a full 24-hour forecast in under 8 milliseconds on standard CPU hardware, making it suitable for edge deployment in regional substations; and (3) Physical Interpretability: Rather than acting as an uninterpretable black box, CAEG-Net's routing simplex provides grid operators with transparent, real-time visibility into which expert inductive bias is driving the current forecast.</w:t>
      </w:r>
    </w:p>
    <w:p>
      <w:pPr>
        <w:keepNext/>
        <w:spacing w:before="280" w:after="80"/>
      </w:pPr>
      <w:r>
        <w:rPr>
          <w:b/>
          <w:color w:val="2C3E50"/>
          <w:sz w:val="26"/>
        </w:rPr>
        <w:t>6.3 Future Research Directions</w:t>
      </w:r>
    </w:p>
    <w:p>
      <w:pPr>
        <w:spacing w:after="100" w:line="276" w:lineRule="auto"/>
      </w:pPr>
      <w:r>
        <w:rPr>
          <w:b/>
          <w:color w:val="2C3E50"/>
        </w:rPr>
        <w:t xml:space="preserve">Future Scope: </w:t>
      </w:r>
      <w:r>
        <w:t>The methodologies developed in this project provide a foundation for four promising future research extensions:</w:t>
      </w:r>
    </w:p>
    <w:p>
      <w:pPr>
        <w:spacing w:after="100" w:line="276" w:lineRule="auto"/>
      </w:pPr>
      <w:r>
        <w:rPr>
          <w:b/>
          <w:color w:val="2C3E50"/>
        </w:rPr>
        <w:t xml:space="preserve">• Probabilistic Extension: </w:t>
      </w:r>
      <w:r>
        <w:t>1. Probabilistic &amp; Conformal Quantile Forecasting: Extending the output heads from deterministic point forecasts to calibrated prediction intervals (e.g., 10th, 50th, 90th percentiles) via pinball loss or conformal prediction guarantees.</w:t>
      </w:r>
    </w:p>
    <w:p>
      <w:pPr>
        <w:spacing w:after="100" w:line="276" w:lineRule="auto"/>
      </w:pPr>
      <w:r>
        <w:rPr>
          <w:b/>
          <w:color w:val="2C3E50"/>
        </w:rPr>
        <w:t xml:space="preserve">• Multimodal Weather Integration: </w:t>
      </w:r>
      <w:r>
        <w:t>2. Exogenous Meteorological Embeddings: Incorporating Numerical Weather Prediction (NWP) forecasts (ambient temperature, dew point, wind speed, solar GHI) into the context vector c_t to improve extreme heatwave and cold snap forecasting.</w:t>
      </w:r>
    </w:p>
    <w:p>
      <w:pPr>
        <w:spacing w:after="100" w:line="276" w:lineRule="auto"/>
      </w:pPr>
      <w:r>
        <w:rPr>
          <w:b/>
          <w:color w:val="2C3E50"/>
        </w:rPr>
        <w:t xml:space="preserve">• Expert Expansion: </w:t>
      </w:r>
      <w:r>
        <w:t>3. Advanced State-Space &amp; Transformer Specialists: Incorporating state-space models (Mamba / S4) and lightweight linear attention transformers as additional specialized expert branches within the MoE framework.</w:t>
      </w:r>
    </w:p>
    <w:p>
      <w:pPr>
        <w:spacing w:after="100" w:line="276" w:lineRule="auto"/>
      </w:pPr>
      <w:r>
        <w:rPr>
          <w:b/>
          <w:color w:val="2C3E50"/>
        </w:rPr>
        <w:t xml:space="preserve">• Online Continual Learning: </w:t>
      </w:r>
      <w:r>
        <w:t>4. Continual Online Adaptation: Implementing streaming meta-learning to dynamically update gating router parameters in response to long-term climate change drift and annual demographic shifts without full model re-training.</w:t>
      </w:r>
    </w:p>
    <w:p>
      <w:pPr>
        <w:keepNext/>
        <w:spacing w:before="360" w:after="120"/>
      </w:pPr>
      <w:r>
        <w:rPr>
          <w:b/>
          <w:color w:val="1B365D"/>
          <w:sz w:val="32"/>
        </w:rPr>
        <w:t>7. References</w:t>
      </w:r>
    </w:p>
    <w:p>
      <w:pPr>
        <w:spacing w:after="80" w:line="276" w:lineRule="auto"/>
        <w:ind w:left="576" w:hanging="576"/>
      </w:pPr>
      <w:r>
        <w:rPr>
          <w:color w:val="1E293B"/>
          <w:sz w:val="19"/>
        </w:rPr>
        <w:t>[1] W. Sheng, K. Liu, D. Jia, S. Chen and R. Lin, "LST-TCN for short-term load forecasting," Energies, vol. 16, no. 18, p. 6608, 2023.</w:t>
      </w:r>
    </w:p>
    <w:p>
      <w:pPr>
        <w:spacing w:after="80" w:line="276" w:lineRule="auto"/>
        <w:ind w:left="576" w:hanging="576"/>
      </w:pPr>
      <w:r>
        <w:rPr>
          <w:color w:val="1E293B"/>
          <w:sz w:val="19"/>
        </w:rPr>
        <w:t>[2] H. Li, S. Li, Y. Wu, Y. Xiao, Z. Pan and M. Liu, "Residual and attentive LSTM-TCN hybrid network for short-term load forecasting," Energy, vol. 288, p. 129759, 2024.</w:t>
      </w:r>
    </w:p>
    <w:p>
      <w:pPr>
        <w:spacing w:after="80" w:line="276" w:lineRule="auto"/>
        <w:ind w:left="576" w:hanging="576"/>
      </w:pPr>
      <w:r>
        <w:rPr>
          <w:color w:val="1E293B"/>
          <w:sz w:val="19"/>
        </w:rPr>
        <w:t>[3] J. Hu, P. Duan, X. Cao et al., "Mixture-of-Experts with dynamic multilevel attention for multi-energy load forecasting," Applied Energy, vol. 353, p. 122119, 2024.</w:t>
      </w:r>
    </w:p>
    <w:p>
      <w:pPr>
        <w:spacing w:after="80" w:line="276" w:lineRule="auto"/>
        <w:ind w:left="576" w:hanging="576"/>
      </w:pPr>
      <w:r>
        <w:rPr>
          <w:color w:val="1E293B"/>
          <w:sz w:val="19"/>
        </w:rPr>
        <w:t>[4] M. Mounir, A. Ouadi and F. Jrhilifa, "EMD-BiLSTM for short-term load forecasting in smart grids," Energy Reports, vol. 10, pp. 2412-2423, 2023.</w:t>
      </w:r>
    </w:p>
    <w:p>
      <w:pPr>
        <w:spacing w:after="80" w:line="276" w:lineRule="auto"/>
        <w:ind w:left="576" w:hanging="576"/>
      </w:pPr>
      <w:r>
        <w:rPr>
          <w:color w:val="1E293B"/>
          <w:sz w:val="19"/>
        </w:rPr>
        <w:t>[5] Z. Wang, Y. Zhang and C. Liu, "Multi-horizon hybrid short-term load forecasting with LSTM and modified split convolution," IEEE Transactions on Smart Grid, vol. 14, no. 3, pp. 2105-2117, 2023.</w:t>
      </w:r>
    </w:p>
    <w:p>
      <w:pPr>
        <w:spacing w:after="80" w:line="276" w:lineRule="auto"/>
        <w:ind w:left="576" w:hanging="576"/>
      </w:pPr>
      <w:r>
        <w:rPr>
          <w:color w:val="1E293B"/>
          <w:sz w:val="19"/>
        </w:rPr>
        <w:t>[6] T. Sievers, T. Blank and B. Simon, "Mixture-of-experts with federated learning for energy forecasting," in Proc. IEEE PES General Meeting, 2023, pp. 1-5.</w:t>
      </w:r>
    </w:p>
    <w:p>
      <w:pPr>
        <w:spacing w:after="80" w:line="276" w:lineRule="auto"/>
        <w:ind w:left="576" w:hanging="576"/>
      </w:pPr>
      <w:r>
        <w:rPr>
          <w:color w:val="1E293B"/>
          <w:sz w:val="19"/>
        </w:rPr>
        <w:t>[7] X. Ni, Y. Lin, C. Wang and M. Fanti, "Mixture-of-linear-experts for time-series forecasting: a load-balancing study," IEEE Transactions on Power Systems, 2024.</w:t>
      </w:r>
    </w:p>
    <w:p>
      <w:pPr>
        <w:spacing w:after="80" w:line="276" w:lineRule="auto"/>
        <w:ind w:left="576" w:hanging="576"/>
      </w:pPr>
      <w:r>
        <w:rPr>
          <w:color w:val="1E293B"/>
          <w:sz w:val="19"/>
        </w:rPr>
        <w:t>[8] F. Ullah et al., "CNN-LSTM hybrid models for short-term load forecasting: review and simulation," IEEE Access, vol. 11, pp. 88312-88330, 2023.</w:t>
      </w:r>
    </w:p>
    <w:p>
      <w:pPr>
        <w:spacing w:after="80" w:line="276" w:lineRule="auto"/>
        <w:ind w:left="576" w:hanging="576"/>
      </w:pPr>
      <w:r>
        <w:rPr>
          <w:color w:val="1E293B"/>
          <w:sz w:val="19"/>
        </w:rPr>
        <w:t>[9] R. K. Sen, P. Gupta and M. Roy, "GRU-TCN attention hybrid model for short-term load forecasting," Scientific Reports, vol. 14, p. 4819, 2024.</w:t>
      </w:r>
    </w:p>
    <w:p>
      <w:pPr>
        <w:spacing w:after="80" w:line="276" w:lineRule="auto"/>
        <w:ind w:left="576" w:hanging="576"/>
      </w:pPr>
      <w:r>
        <w:rPr>
          <w:color w:val="1E293B"/>
          <w:sz w:val="19"/>
        </w:rPr>
        <w:t>[10] S. Heng, J. Hao and W. Nan, "CEEMDAN and TCN-LSTM for short-term load forecasting," PLOS ONE, vol. 19, no. 2, p. e0297512, 2024.</w:t>
      </w:r>
    </w:p>
    <w:p>
      <w:pPr>
        <w:spacing w:after="80" w:line="276" w:lineRule="auto"/>
        <w:ind w:left="576" w:hanging="576"/>
      </w:pPr>
      <w:r>
        <w:rPr>
          <w:color w:val="1E293B"/>
          <w:sz w:val="19"/>
        </w:rPr>
        <w:t>[11] X. Shi, S. Wang, Y. Nie et al., "Time-MoE: Billion-scale time series foundation models with mixture of experts," arXiv preprint arXiv:2409.16040, 2024.</w:t>
      </w:r>
    </w:p>
    <w:p>
      <w:pPr>
        <w:spacing w:after="80" w:line="276" w:lineRule="auto"/>
        <w:ind w:left="576" w:hanging="576"/>
      </w:pPr>
      <w:r>
        <w:rPr>
          <w:color w:val="1E293B"/>
          <w:sz w:val="19"/>
        </w:rPr>
        <w:t>[12] J. Tan, M. Sun, K. Zhang et al., "TriForecaster: Mixture-of-experts with tri-dimensional specialisation for multi-region load forecasting," IEEE Transactions on Smart Grid, 2024.</w:t>
      </w:r>
    </w:p>
    <w:p>
      <w:pPr>
        <w:spacing w:after="80" w:line="276" w:lineRule="auto"/>
        <w:ind w:left="576" w:hanging="576"/>
      </w:pPr>
      <w:r>
        <w:rPr>
          <w:color w:val="1E293B"/>
          <w:sz w:val="19"/>
        </w:rPr>
        <w:t>[13] H. Zhou, Y. Zhang and L. Shen, "Drift-aware dynamic mixture-of-experts for non-stationary time-series forecasting," in Proc. NeurIPS, 2023.</w:t>
      </w:r>
    </w:p>
    <w:p>
      <w:pPr>
        <w:spacing w:after="80" w:line="276" w:lineRule="auto"/>
        <w:ind w:left="576" w:hanging="576"/>
      </w:pPr>
      <w:r>
        <w:rPr>
          <w:color w:val="1E293B"/>
          <w:sz w:val="19"/>
        </w:rPr>
        <w:t>[14] S. Hochreiter and J. Schmidhuber, "Long short-term memory," Neural Computation, vol. 9, no. 8, pp. 1735-1780, 1997.</w:t>
      </w:r>
    </w:p>
    <w:p>
      <w:pPr>
        <w:spacing w:after="80" w:line="276" w:lineRule="auto"/>
        <w:ind w:left="576" w:hanging="576"/>
      </w:pPr>
      <w:r>
        <w:rPr>
          <w:color w:val="1E293B"/>
          <w:sz w:val="19"/>
        </w:rPr>
        <w:t>[15] S. Bai, J. Z. Kolter and V. Koltun, "An empirical evaluation of generic convolutional and recurrent networks for sequence modeling," arXiv preprint arXiv:1803.01271, 2018.</w:t>
      </w:r>
    </w:p>
    <w:p>
      <w:pPr>
        <w:spacing w:after="80" w:line="276" w:lineRule="auto"/>
        <w:ind w:left="576" w:hanging="576"/>
      </w:pPr>
      <w:r>
        <w:rPr>
          <w:color w:val="1E293B"/>
          <w:sz w:val="19"/>
        </w:rPr>
        <w:t>[16] R. A. Jacobs, M. I. Jordan, S. J. Nowlan and G. E. Hinton, "Adaptive mixtures of local experts," Neural Computation, vol. 3, no. 1, pp. 79-87, 1991.</w:t>
      </w:r>
    </w:p>
    <w:p>
      <w:pPr>
        <w:spacing w:after="80" w:line="276" w:lineRule="auto"/>
        <w:ind w:left="576" w:hanging="576"/>
      </w:pPr>
      <w:r>
        <w:rPr>
          <w:color w:val="1E293B"/>
          <w:sz w:val="19"/>
        </w:rPr>
        <w:t>[17] N. Shazeer, A. Mirhoseini, K. Maziarz et al., "Outrageously large neural networks: The sparsely-gated mixture-of-experts layer," in Proc. ICLR, 2017.</w:t>
      </w:r>
    </w:p>
    <w:p>
      <w:pPr>
        <w:spacing w:after="80" w:line="276" w:lineRule="auto"/>
        <w:ind w:left="576" w:hanging="576"/>
      </w:pPr>
      <w:r>
        <w:rPr>
          <w:color w:val="1E293B"/>
          <w:sz w:val="19"/>
        </w:rPr>
        <w:t>[18] I. Loshchilov and F. Hutter, "Decoupled weight decay regularization," in Proc. ICLR, 2019.</w:t>
      </w:r>
    </w:p>
    <w:p>
      <w:pPr>
        <w:spacing w:after="80" w:line="276" w:lineRule="auto"/>
        <w:ind w:left="576" w:hanging="576"/>
      </w:pPr>
      <w:r>
        <w:rPr>
          <w:color w:val="1E293B"/>
          <w:sz w:val="19"/>
        </w:rPr>
        <w:t>[19] A. Paszke, S. Gross, F. Massa et al., "PyTorch: An imperative style, high-performance deep learning library," in Advances in Neural Information Processing Systems (NeurIPS), vol. 32, 2019.</w:t>
      </w:r>
    </w:p>
    <w:p>
      <w:pPr>
        <w:spacing w:after="80" w:line="276" w:lineRule="auto"/>
        <w:ind w:left="576" w:hanging="576"/>
      </w:pPr>
      <w:r>
        <w:rPr>
          <w:color w:val="1E293B"/>
          <w:sz w:val="19"/>
        </w:rPr>
        <w:t>[20] G. E. P. Box, G. M. Jenkins and G. C. Reinsel, Time Series Analysis: Forecasting and Control, 5th ed. Hoboken, NJ: John Wiley &amp; Sons, 2015.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