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/>
          <w:b/>
          <w:color w:val="1B2A4A"/>
          <w:sz w:val="56"/>
        </w:rPr>
        <w:t>KONTEXT</w:t>
      </w:r>
    </w:p>
    <w:p>
      <w:pPr>
        <w:jc w:val="center"/>
      </w:pPr>
      <w:r>
        <w:rPr>
          <w:rFonts w:ascii="Arial" w:hAnsi="Arial"/>
          <w:color w:val="2E7D32"/>
          <w:sz w:val="36"/>
        </w:rPr>
        <w:t>Technical Architecture Evaluation</w:t>
      </w:r>
    </w:p>
    <w:p>
      <w:pPr>
        <w:spacing w:after="120"/>
        <w:jc w:val="center"/>
      </w:pPr>
      <w:r>
        <w:rPr>
          <w:rFonts w:ascii="Arial" w:hAnsi="Arial"/>
          <w:b/>
          <w:color w:val="2E7D32"/>
          <w:sz w:val="32"/>
        </w:rPr>
        <w:t>(Updated)</w:t>
      </w:r>
    </w:p>
    <w:p>
      <w:pPr>
        <w:spacing w:after="480"/>
        <w:jc w:val="center"/>
      </w:pPr>
      <w:r>
        <w:rPr>
          <w:rFonts w:ascii="Arial" w:hAnsi="Arial"/>
          <w:i/>
          <w:color w:val="667085"/>
          <w:sz w:val="24"/>
        </w:rPr>
        <w:t>Trust &amp; Compliance Infrastructure for Agentic Stablecoin Transactions</w:t>
      </w:r>
    </w:p>
    <w:p>
      <w:pPr>
        <w:jc w:val="center"/>
      </w:pPr>
      <w:r>
        <w:rPr>
          <w:rFonts w:ascii="Arial" w:hAnsi="Arial"/>
          <w:color w:val="667085"/>
          <w:sz w:val="22"/>
        </w:rPr>
        <w:t>Prepared for: Vinay, Founder</w:t>
      </w:r>
    </w:p>
    <w:p>
      <w:pPr>
        <w:jc w:val="center"/>
      </w:pPr>
      <w:r>
        <w:rPr>
          <w:rFonts w:ascii="Arial" w:hAnsi="Arial"/>
          <w:color w:val="667085"/>
          <w:sz w:val="22"/>
        </w:rPr>
        <w:t>Date: February 6, 2026 (Updated)</w:t>
      </w:r>
    </w:p>
    <w:p>
      <w:pPr>
        <w:jc w:val="center"/>
      </w:pPr>
      <w:r>
        <w:rPr>
          <w:rFonts w:ascii="Arial" w:hAnsi="Arial"/>
          <w:color w:val="667085"/>
          <w:sz w:val="20"/>
        </w:rPr>
        <w:t>Evaluated using: backend-engineer skill</w:t>
      </w:r>
    </w:p>
    <w:p>
      <w:pPr>
        <w:spacing w:before="240"/>
        <w:jc w:val="center"/>
      </w:pPr>
      <w:r>
        <w:rPr>
          <w:rFonts w:ascii="Arial" w:hAnsi="Arial"/>
          <w:b/>
          <w:color w:val="2E7D32"/>
          <w:sz w:val="24"/>
        </w:rPr>
        <w:t>Remediation Status: 16 of 16 findings resolved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2A4A"/>
        </w:rPr>
        <w:t>Executive Summary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Kontext is a well-architected compliance SDK solving a critical gap: AI agents moving real money with no audit infrastructure. The codebase demonstrates strong foundational design with a patented SHA-256 digest chain, modular architecture, and comprehensive test coverage (17 test suites, ~7,500 lines).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 xml:space="preserve">The original evaluation identified </w:t>
      </w:r>
      <w:r>
        <w:rPr>
          <w:rFonts w:ascii="Arial" w:hAnsi="Arial"/>
          <w:b/>
          <w:i w:val="0"/>
          <w:sz w:val="22"/>
        </w:rPr>
        <w:t>3 critical, 5 high, 5 medium, and 3 low severity findings</w:t>
      </w:r>
      <w:r>
        <w:rPr>
          <w:rFonts w:ascii="Arial" w:hAnsi="Arial"/>
          <w:b w:val="0"/>
          <w:i w:val="0"/>
          <w:sz w:val="22"/>
        </w:rPr>
        <w:t xml:space="preserve"> across the codebase. A focused remediation effort has since addressed </w:t>
      </w:r>
      <w:r>
        <w:rPr>
          <w:rFonts w:ascii="Arial" w:hAnsi="Arial"/>
          <w:b/>
          <w:i w:val="0"/>
          <w:sz w:val="22"/>
        </w:rPr>
        <w:t>16 of 16 findings (100%)</w:t>
      </w:r>
      <w:r>
        <w:rPr>
          <w:rFonts w:ascii="Arial" w:hAnsi="Arial"/>
          <w:b w:val="0"/>
          <w:i w:val="0"/>
          <w:sz w:val="22"/>
        </w:rPr>
        <w:t xml:space="preserve">, including </w:t>
      </w:r>
      <w:r>
        <w:rPr>
          <w:rFonts w:ascii="Arial" w:hAnsi="Arial"/>
          <w:b/>
          <w:i w:val="0"/>
          <w:sz w:val="22"/>
        </w:rPr>
        <w:t>all 3 critical and all 5 high severity issues</w:t>
      </w:r>
      <w:r>
        <w:rPr>
          <w:rFonts w:ascii="Arial" w:hAnsi="Arial"/>
          <w:b w:val="0"/>
          <w:i w:val="0"/>
          <w:sz w:val="22"/>
        </w:rPr>
        <w:t>. The remaining 3 deferred items (2 medium, 1 low) are intentional deferrals with documented rationale, not outstanding risks.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 xml:space="preserve">The project has moved from a </w:t>
      </w:r>
      <w:r>
        <w:rPr>
          <w:rFonts w:ascii="Arial" w:hAnsi="Arial"/>
          <w:b w:val="0"/>
          <w:i/>
          <w:sz w:val="22"/>
        </w:rPr>
        <w:t>"needs remediation before production"</w:t>
      </w:r>
      <w:r>
        <w:rPr>
          <w:rFonts w:ascii="Arial" w:hAnsi="Arial"/>
          <w:b w:val="0"/>
          <w:i w:val="0"/>
          <w:sz w:val="22"/>
        </w:rPr>
        <w:t xml:space="preserve"> state to a </w:t>
      </w:r>
      <w:r>
        <w:rPr>
          <w:rFonts w:ascii="Arial" w:hAnsi="Arial"/>
          <w:b/>
          <w:i/>
          <w:sz w:val="22"/>
        </w:rPr>
        <w:t>"production-ready with all findings resolved"</w:t>
      </w:r>
      <w:r>
        <w:rPr>
          <w:rFonts w:ascii="Arial" w:hAnsi="Arial"/>
          <w:b w:val="0"/>
          <w:i w:val="0"/>
          <w:sz w:val="22"/>
        </w:rPr>
        <w:t xml:space="preserve"> state. All 16 findings across all severity levels have been resolved, including the 3 previously deferred findings (function decomposition, metadata validation, JSDoc documentation).</w:t>
      </w:r>
    </w:p>
    <w:p>
      <w:pPr>
        <w:pStyle w:val="Heading2"/>
      </w:pPr>
      <w:r>
        <w:rPr>
          <w:rFonts w:ascii="Arial" w:hAnsi="Arial"/>
          <w:color w:val="1B2A4A"/>
        </w:rPr>
        <w:t>Remediation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  <w:vAlign w:val="center"/>
            <w:shd w:fill="1B2A4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1152"/>
            <w:vAlign w:val="center"/>
            <w:shd w:fill="1B2A4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1440"/>
            <w:vAlign w:val="center"/>
            <w:shd w:fill="1B2A4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Resolved</w:t>
            </w:r>
          </w:p>
        </w:tc>
        <w:tc>
          <w:tcPr>
            <w:tcW w:type="dxa" w:w="1440"/>
            <w:vAlign w:val="center"/>
            <w:shd w:fill="1B2A4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Deferred</w:t>
            </w:r>
          </w:p>
        </w:tc>
        <w:tc>
          <w:tcPr>
            <w:tcW w:type="dxa" w:w="1872"/>
            <w:vAlign w:val="center"/>
            <w:shd w:fill="1B2A4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Resolution Rate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C62828"/>
                <w:sz w:val="20"/>
              </w:rPr>
              <w:t>CRITICAL</w:t>
            </w:r>
          </w:p>
        </w:tc>
        <w:tc>
          <w:tcPr>
            <w:tcW w:type="dxa" w:w="1152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144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144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0</w:t>
            </w:r>
          </w:p>
        </w:tc>
        <w:tc>
          <w:tcPr>
            <w:tcW w:type="dxa" w:w="1872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B5E20"/>
                <w:sz w:val="20"/>
              </w:rPr>
              <w:t>100%</w:t>
            </w:r>
          </w:p>
        </w:tc>
      </w:tr>
      <w:tr>
        <w:tc>
          <w:tcPr>
            <w:tcW w:type="dxa" w:w="1872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65100"/>
                <w:sz w:val="20"/>
              </w:rPr>
              <w:t>HIGH</w:t>
            </w:r>
          </w:p>
        </w:tc>
        <w:tc>
          <w:tcPr>
            <w:tcW w:type="dxa" w:w="1152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1440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1440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0</w:t>
            </w:r>
          </w:p>
        </w:tc>
        <w:tc>
          <w:tcPr>
            <w:tcW w:type="dxa" w:w="1872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B5E20"/>
                <w:sz w:val="20"/>
              </w:rPr>
              <w:t>100%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9A825"/>
                <w:sz w:val="20"/>
              </w:rPr>
              <w:t>MEDIUM</w:t>
            </w:r>
          </w:p>
        </w:tc>
        <w:tc>
          <w:tcPr>
            <w:tcW w:type="dxa" w:w="1152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144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>
              <w:t>5</w:t>
            </w:r>
          </w:p>
        </w:tc>
        <w:tc>
          <w:tcPr>
            <w:tcW w:type="dxa" w:w="144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>
              <w:t>0</w:t>
            </w:r>
          </w:p>
        </w:tc>
        <w:tc>
          <w:tcPr>
            <w:tcW w:type="dxa" w:w="1872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>
              <w:t>100%</w:t>
            </w:r>
          </w:p>
        </w:tc>
      </w:tr>
      <w:tr>
        <w:tc>
          <w:tcPr>
            <w:tcW w:type="dxa" w:w="1872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2E7D32"/>
                <w:sz w:val="20"/>
              </w:rPr>
              <w:t>LOW</w:t>
            </w:r>
          </w:p>
        </w:tc>
        <w:tc>
          <w:tcPr>
            <w:tcW w:type="dxa" w:w="1152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1440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>
              <w:t>3</w:t>
            </w:r>
          </w:p>
        </w:tc>
        <w:tc>
          <w:tcPr>
            <w:tcW w:type="dxa" w:w="1440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>
              <w:t>0</w:t>
            </w:r>
          </w:p>
        </w:tc>
        <w:tc>
          <w:tcPr>
            <w:tcW w:type="dxa" w:w="1872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>
              <w:t>100%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TOTAL</w:t>
            </w:r>
          </w:p>
        </w:tc>
        <w:tc>
          <w:tcPr>
            <w:tcW w:type="dxa" w:w="1152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16</w:t>
            </w:r>
          </w:p>
        </w:tc>
        <w:tc>
          <w:tcPr>
            <w:tcW w:type="dxa" w:w="144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>
              <w:t>16</w:t>
            </w:r>
          </w:p>
        </w:tc>
        <w:tc>
          <w:tcPr>
            <w:tcW w:type="dxa" w:w="144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>
              <w:t>0</w:t>
            </w:r>
          </w:p>
        </w:tc>
        <w:tc>
          <w:tcPr>
            <w:tcW w:type="dxa" w:w="1872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>
              <w:t>100%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B2A4A"/>
        </w:rPr>
        <w:t>Overall Assessment (Updated)</w:t>
      </w:r>
    </w:p>
    <w:p>
      <w:pPr>
        <w:spacing w:after="120"/>
      </w:pPr>
      <w:r>
        <w:rPr>
          <w:rFonts w:ascii="Arial" w:hAnsi="Arial"/>
          <w:b w:val="0"/>
          <w:i/>
          <w:color w:val="667085"/>
          <w:sz w:val="20"/>
        </w:rPr>
        <w:t>Ratings have been updated to reflect post-remediation state. Changes from the original assessment are noted.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vAlign w:val="center"/>
            <w:shd w:fill="1B2A4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1728"/>
            <w:vAlign w:val="center"/>
            <w:shd w:fill="1B2A4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Original Rating</w:t>
            </w:r>
          </w:p>
        </w:tc>
        <w:tc>
          <w:tcPr>
            <w:tcW w:type="dxa" w:w="1728"/>
            <w:vAlign w:val="center"/>
            <w:shd w:fill="1B2A4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Updated Rating</w:t>
            </w:r>
          </w:p>
        </w:tc>
        <w:tc>
          <w:tcPr>
            <w:tcW w:type="dxa" w:w="4320"/>
            <w:vAlign w:val="center"/>
            <w:shd w:fill="1B2A4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Architecture</w:t>
            </w:r>
          </w:p>
        </w:tc>
        <w:tc>
          <w:tcPr>
            <w:tcW w:type="dxa" w:w="1728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Strong</w:t>
            </w:r>
          </w:p>
        </w:tc>
        <w:tc>
          <w:tcPr>
            <w:tcW w:type="dxa" w:w="1728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B5E20"/>
                <w:sz w:val="20"/>
              </w:rPr>
              <w:t>Strong</w:t>
            </w:r>
          </w:p>
        </w:tc>
        <w:tc>
          <w:tcPr>
            <w:tcW w:type="dxa" w:w="432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Unchanged. Clean modular design, pluggable storage, good separation of concerns.</w:t>
            </w:r>
          </w:p>
        </w:tc>
      </w:tr>
      <w:tr>
        <w:tc>
          <w:tcPr>
            <w:tcW w:type="dxa" w:w="1728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Code Quality</w:t>
            </w:r>
          </w:p>
        </w:tc>
        <w:tc>
          <w:tcPr>
            <w:tcW w:type="dxa" w:w="1728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Moderate</w:t>
            </w:r>
          </w:p>
        </w:tc>
        <w:tc>
          <w:tcPr>
            <w:tcW w:type="dxa" w:w="1728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B5E20"/>
                <w:sz w:val="20"/>
              </w:rPr>
              <w:t>Strong</w:t>
            </w:r>
          </w:p>
        </w:tc>
        <w:tc>
          <w:tcPr>
            <w:tcW w:type="dxa" w:w="4320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Upgraded. TypeScript compiles cleanly. Named constants extracted. Structured logging added.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Security</w:t>
            </w:r>
          </w:p>
        </w:tc>
        <w:tc>
          <w:tcPr>
            <w:tcW w:type="dxa" w:w="1728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Needs Work</w:t>
            </w:r>
          </w:p>
        </w:tc>
        <w:tc>
          <w:tcPr>
            <w:tcW w:type="dxa" w:w="1728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B5E20"/>
                <w:sz w:val="20"/>
              </w:rPr>
              <w:t>Good</w:t>
            </w:r>
          </w:p>
        </w:tc>
        <w:tc>
          <w:tcPr>
            <w:tcW w:type="dxa" w:w="432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Upgraded. OFAC list now extensible, webhook secrets redacted, env validation enforced, rate limiting added.</w:t>
            </w:r>
          </w:p>
        </w:tc>
      </w:tr>
      <w:tr>
        <w:tc>
          <w:tcPr>
            <w:tcW w:type="dxa" w:w="1728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Testing</w:t>
            </w:r>
          </w:p>
        </w:tc>
        <w:tc>
          <w:tcPr>
            <w:tcW w:type="dxa" w:w="1728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Strong</w:t>
            </w:r>
          </w:p>
        </w:tc>
        <w:tc>
          <w:tcPr>
            <w:tcW w:type="dxa" w:w="1728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B5E20"/>
                <w:sz w:val="20"/>
              </w:rPr>
              <w:t>Strong</w:t>
            </w:r>
          </w:p>
        </w:tc>
        <w:tc>
          <w:tcPr>
            <w:tcW w:type="dxa" w:w="4320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Unchanged. 17 test files, ~7.5K lines; comprehensive coverage of features.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Scalability</w:t>
            </w:r>
          </w:p>
        </w:tc>
        <w:tc>
          <w:tcPr>
            <w:tcW w:type="dxa" w:w="1728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Needs Work</w:t>
            </w:r>
          </w:p>
        </w:tc>
        <w:tc>
          <w:tcPr>
            <w:tcW w:type="dxa" w:w="1728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B5E20"/>
                <w:sz w:val="20"/>
              </w:rPr>
              <w:t>Good</w:t>
            </w:r>
          </w:p>
        </w:tc>
        <w:tc>
          <w:tcPr>
            <w:tcW w:type="dxa" w:w="432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Upgraded. Concurrency protection on store, bounded memory with eviction, O(n) reduced to O(4) scans.</w:t>
            </w:r>
          </w:p>
        </w:tc>
      </w:tr>
      <w:tr>
        <w:tc>
          <w:tcPr>
            <w:tcW w:type="dxa" w:w="1728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DevOps</w:t>
            </w:r>
          </w:p>
        </w:tc>
        <w:tc>
          <w:tcPr>
            <w:tcW w:type="dxa" w:w="1728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Good</w:t>
            </w:r>
          </w:p>
        </w:tc>
        <w:tc>
          <w:tcPr>
            <w:tcW w:type="dxa" w:w="1728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Good</w:t>
            </w:r>
          </w:p>
        </w:tc>
        <w:tc>
          <w:tcPr>
            <w:tcW w:type="dxa" w:w="4320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Unchanged. Docker, GCP Cloud Run ready.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Compliance</w:t>
            </w:r>
          </w:p>
        </w:tc>
        <w:tc>
          <w:tcPr>
            <w:tcW w:type="dxa" w:w="1728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Strong</w:t>
            </w:r>
          </w:p>
        </w:tc>
        <w:tc>
          <w:tcPr>
            <w:tcW w:type="dxa" w:w="1728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B5E20"/>
                <w:sz w:val="20"/>
              </w:rPr>
              <w:t>Strong</w:t>
            </w:r>
          </w:p>
        </w:tc>
        <w:tc>
          <w:tcPr>
            <w:tcW w:type="dxa" w:w="432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Unchanged. GENIUS Act alignment, OFAC checks (now extensible), SAR/CTR templates.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B2A4A"/>
        </w:rPr>
        <w:t>Detailed Findings Status</w:t>
      </w:r>
    </w:p>
    <w:p>
      <w:pPr>
        <w:spacing w:after="240"/>
      </w:pPr>
      <w:r>
        <w:rPr>
          <w:rFonts w:ascii="Arial" w:hAnsi="Arial"/>
          <w:b w:val="0"/>
          <w:i w:val="0"/>
          <w:sz w:val="22"/>
        </w:rPr>
        <w:t>All 16 original findings are listed below with their current status and the specific remediation action taken.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04"/>
            <w:vAlign w:val="center"/>
            <w:shd w:fill="1B2A4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1224"/>
            <w:vAlign w:val="center"/>
            <w:shd w:fill="1B2A4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304"/>
            <w:vAlign w:val="center"/>
            <w:shd w:fill="1B2A4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Finding</w:t>
            </w:r>
          </w:p>
        </w:tc>
        <w:tc>
          <w:tcPr>
            <w:tcW w:type="dxa" w:w="1224"/>
            <w:vAlign w:val="center"/>
            <w:shd w:fill="1B2A4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320"/>
            <w:vAlign w:val="center"/>
            <w:shd w:fill="1B2A4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Remediation Action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22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C62828"/>
                <w:sz w:val="18"/>
              </w:rPr>
              <w:t>CRITICAL</w:t>
            </w:r>
          </w:p>
        </w:tc>
        <w:tc>
          <w:tcPr>
            <w:tcW w:type="dxa" w:w="230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8"/>
              </w:rPr>
              <w:t>TypeScript compilation failure</w:t>
            </w:r>
          </w:p>
        </w:tc>
        <w:tc>
          <w:tcPr>
            <w:tcW w:type="dxa" w:w="1224"/>
            <w:vAlign w:val="center"/>
            <w:shd w:fill="C8E6C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B5E20"/>
                <w:sz w:val="18"/>
              </w:rPr>
              <w:t>RESOLVED</w:t>
            </w:r>
          </w:p>
        </w:tc>
        <w:tc>
          <w:tcPr>
            <w:tcW w:type="dxa" w:w="432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8"/>
              </w:rPr>
              <w:t>@types/node added to devDependencies; all 9 compilation errors eliminated.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fill="F5F7F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122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fill="F5F7F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C62828"/>
                <w:sz w:val="18"/>
              </w:rPr>
              <w:t>CRITICAL</w:t>
            </w:r>
          </w:p>
        </w:tc>
        <w:tc>
          <w:tcPr>
            <w:tcW w:type="dxa" w:w="230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fill="F5F7FA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8"/>
              </w:rPr>
              <w:t>Async return type mismatch</w:t>
            </w:r>
          </w:p>
        </w:tc>
        <w:tc>
          <w:tcPr>
            <w:tcW w:type="dxa" w:w="1224"/>
            <w:vAlign w:val="center"/>
            <w:shd w:fill="C8E6C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B5E20"/>
                <w:sz w:val="18"/>
              </w:rPr>
              <w:t>RESOLVED</w:t>
            </w:r>
          </w:p>
        </w:tc>
        <w:tc>
          <w:tcPr>
            <w:tcW w:type="dxa" w:w="432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fill="F5F7F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8"/>
              </w:rPr>
              <w:t>getTaskStatus() now correctly returns Promise&lt;Task | undefined&gt;.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122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C62828"/>
                <w:sz w:val="18"/>
              </w:rPr>
              <w:t>CRITICAL</w:t>
            </w:r>
          </w:p>
        </w:tc>
        <w:tc>
          <w:tcPr>
            <w:tcW w:type="dxa" w:w="230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8"/>
              </w:rPr>
              <w:t>Digest chain timestamp validation gap</w:t>
            </w:r>
          </w:p>
        </w:tc>
        <w:tc>
          <w:tcPr>
            <w:tcW w:type="dxa" w:w="1224"/>
            <w:vAlign w:val="center"/>
            <w:shd w:fill="C8E6C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B5E20"/>
                <w:sz w:val="18"/>
              </w:rPr>
              <w:t>RESOLVED</w:t>
            </w:r>
          </w:p>
        </w:tc>
        <w:tc>
          <w:tcPr>
            <w:tcW w:type="dxa" w:w="432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8"/>
              </w:rPr>
              <w:t>hrtime delta clamped to prevent negative microseconds, preserving tamper-evidence guarantees.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fill="F5F7F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122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fill="F5F7F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65100"/>
                <w:sz w:val="18"/>
              </w:rPr>
              <w:t>HIGH</w:t>
            </w:r>
          </w:p>
        </w:tc>
        <w:tc>
          <w:tcPr>
            <w:tcW w:type="dxa" w:w="230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fill="F5F7FA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8"/>
              </w:rPr>
              <w:t>Static OFAC sanctions list</w:t>
            </w:r>
          </w:p>
        </w:tc>
        <w:tc>
          <w:tcPr>
            <w:tcW w:type="dxa" w:w="1224"/>
            <w:vAlign w:val="center"/>
            <w:shd w:fill="C8E6C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B5E20"/>
                <w:sz w:val="18"/>
              </w:rPr>
              <w:t>RESOLVED</w:t>
            </w:r>
          </w:p>
        </w:tc>
        <w:tc>
          <w:tcPr>
            <w:tcW w:type="dxa" w:w="432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fill="F5F7F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8"/>
              </w:rPr>
              <w:t>Added addSanctionedAddresses(), replaceSanctionedAddresses(), getSanctionsListSize() static methods for dynamic list management.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122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65100"/>
                <w:sz w:val="18"/>
              </w:rPr>
              <w:t>HIGH</w:t>
            </w:r>
          </w:p>
        </w:tc>
        <w:tc>
          <w:tcPr>
            <w:tcW w:type="dxa" w:w="230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8"/>
              </w:rPr>
              <w:t>No concurrency protection on store</w:t>
            </w:r>
          </w:p>
        </w:tc>
        <w:tc>
          <w:tcPr>
            <w:tcW w:type="dxa" w:w="1224"/>
            <w:vAlign w:val="center"/>
            <w:shd w:fill="C8E6C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B5E20"/>
                <w:sz w:val="18"/>
              </w:rPr>
              <w:t>RESOLVED</w:t>
            </w:r>
          </w:p>
        </w:tc>
        <w:tc>
          <w:tcPr>
            <w:tcW w:type="dxa" w:w="432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8"/>
              </w:rPr>
              <w:t>flush() now snapshots all collections before async persistence, preventing race conditions.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fill="F5F7F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122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fill="F5F7F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65100"/>
                <w:sz w:val="18"/>
              </w:rPr>
              <w:t>HIGH</w:t>
            </w:r>
          </w:p>
        </w:tc>
        <w:tc>
          <w:tcPr>
            <w:tcW w:type="dxa" w:w="230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fill="F5F7FA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8"/>
              </w:rPr>
              <w:t>Unbounded memory growth</w:t>
            </w:r>
          </w:p>
        </w:tc>
        <w:tc>
          <w:tcPr>
            <w:tcW w:type="dxa" w:w="1224"/>
            <w:vAlign w:val="center"/>
            <w:shd w:fill="C8E6C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B5E20"/>
                <w:sz w:val="18"/>
              </w:rPr>
              <w:t>RESOLVED</w:t>
            </w:r>
          </w:p>
        </w:tc>
        <w:tc>
          <w:tcPr>
            <w:tcW w:type="dxa" w:w="432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fill="F5F7F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8"/>
              </w:rPr>
              <w:t>Eviction policy added: 10K maximum entries, oldest 10% pruned on overflow.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122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65100"/>
                <w:sz w:val="18"/>
              </w:rPr>
              <w:t>HIGH</w:t>
            </w:r>
          </w:p>
        </w:tc>
        <w:tc>
          <w:tcPr>
            <w:tcW w:type="dxa" w:w="230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8"/>
              </w:rPr>
              <w:t>Missing env variable validation</w:t>
            </w:r>
          </w:p>
        </w:tc>
        <w:tc>
          <w:tcPr>
            <w:tcW w:type="dxa" w:w="1224"/>
            <w:vAlign w:val="center"/>
            <w:shd w:fill="C8E6C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B5E20"/>
                <w:sz w:val="18"/>
              </w:rPr>
              <w:t>RESOLVED</w:t>
            </w:r>
          </w:p>
        </w:tc>
        <w:tc>
          <w:tcPr>
            <w:tcW w:type="dxa" w:w="432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8"/>
              </w:rPr>
              <w:t>withKontext() now throws on missing projectId and empty apiKey. Removed silent 'default' fallback.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fill="F5F7F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122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fill="F5F7F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65100"/>
                <w:sz w:val="18"/>
              </w:rPr>
              <w:t>HIGH</w:t>
            </w:r>
          </w:p>
        </w:tc>
        <w:tc>
          <w:tcPr>
            <w:tcW w:type="dxa" w:w="230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fill="F5F7FA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8"/>
              </w:rPr>
              <w:t>Webhook secrets in plaintext</w:t>
            </w:r>
          </w:p>
        </w:tc>
        <w:tc>
          <w:tcPr>
            <w:tcW w:type="dxa" w:w="1224"/>
            <w:vAlign w:val="center"/>
            <w:shd w:fill="C8E6C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B5E20"/>
                <w:sz w:val="18"/>
              </w:rPr>
              <w:t>RESOLVED</w:t>
            </w:r>
          </w:p>
        </w:tc>
        <w:tc>
          <w:tcPr>
            <w:tcW w:type="dxa" w:w="432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fill="F5F7F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8"/>
              </w:rPr>
              <w:t>getWebhooks()/getWebhook() now return '***REDACTED***' for secrets; secrets no longer exposed via API.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122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9A825"/>
                <w:sz w:val="18"/>
              </w:rPr>
              <w:t>MEDIUM</w:t>
            </w:r>
          </w:p>
        </w:tc>
        <w:tc>
          <w:tcPr>
            <w:tcW w:type="dxa" w:w="230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8"/>
              </w:rPr>
              <w:t>Large functions (200+ lines)</w:t>
            </w:r>
          </w:p>
        </w:tc>
        <w:tc>
          <w:tcPr>
            <w:tcW w:type="dxa" w:w="1224"/>
            <w:vAlign w:val="center"/>
            <w:shd w:fill="FFF9C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>
              <w:t>RESOLVED</w:t>
            </w:r>
          </w:p>
        </w:tc>
        <w:tc>
          <w:tcPr>
            <w:tcW w:type="dxa" w:w="432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>
              <w:t>kontextMiddleware decomposed into 10+ focused helper functions: logTransformParams(), wrapGenerateWithAudit(), wrapStreamWithAudit(), extractModelId(), enforceAgentTrustThreshold(), processToolCall(), logFinancialToolCall(), logGenerateCompletion(), logStreamToolCalls(). Shared state via ResolvedMiddlewareConfig interface.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fill="F5F7F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122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fill="F5F7F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9A825"/>
                <w:sz w:val="18"/>
              </w:rPr>
              <w:t>MEDIUM</w:t>
            </w:r>
          </w:p>
        </w:tc>
        <w:tc>
          <w:tcPr>
            <w:tcW w:type="dxa" w:w="230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fill="F5F7FA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8"/>
              </w:rPr>
              <w:t>Untyped metadata fields</w:t>
            </w:r>
          </w:p>
        </w:tc>
        <w:tc>
          <w:tcPr>
            <w:tcW w:type="dxa" w:w="1224"/>
            <w:vAlign w:val="center"/>
            <w:shd w:fill="FFF9C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>
              <w:t>RESOLVED</w:t>
            </w:r>
          </w:p>
        </w:tc>
        <w:tc>
          <w:tcPr>
            <w:tcW w:type="dxa" w:w="432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fill="F5F7FA"/>
          </w:tcPr>
          <w:p>
            <w:r>
              <w:t>Optional MetadataValidator interface added (Zod-compatible parse() method). Config accepts metadataSchema that validates metadata in log(), logTransaction(), and createTask(). No-op when unconfigured; throws KontextError(VALIDATION_ERROR) on schema failure. 7 new tests added.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122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9A825"/>
                <w:sz w:val="18"/>
              </w:rPr>
              <w:t>MEDIUM</w:t>
            </w:r>
          </w:p>
        </w:tc>
        <w:tc>
          <w:tcPr>
            <w:tcW w:type="dxa" w:w="230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8"/>
              </w:rPr>
              <w:t>Silent callback error swallowing</w:t>
            </w:r>
          </w:p>
        </w:tc>
        <w:tc>
          <w:tcPr>
            <w:tcW w:type="dxa" w:w="1224"/>
            <w:vAlign w:val="center"/>
            <w:shd w:fill="C8E6C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B5E20"/>
                <w:sz w:val="18"/>
              </w:rPr>
              <w:t>RESOLVED</w:t>
            </w:r>
          </w:p>
        </w:tc>
        <w:tc>
          <w:tcPr>
            <w:tcW w:type="dxa" w:w="432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8"/>
              </w:rPr>
              <w:t>Anomaly callbacks now always console.warn on error, regardless of debug mode.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fill="F5F7F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122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fill="F5F7F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9A825"/>
                <w:sz w:val="18"/>
              </w:rPr>
              <w:t>MEDIUM</w:t>
            </w:r>
          </w:p>
        </w:tc>
        <w:tc>
          <w:tcPr>
            <w:tcW w:type="dxa" w:w="230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fill="F5F7FA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8"/>
              </w:rPr>
              <w:t>O(n) trust score recomputation</w:t>
            </w:r>
          </w:p>
        </w:tc>
        <w:tc>
          <w:tcPr>
            <w:tcW w:type="dxa" w:w="1224"/>
            <w:vAlign w:val="center"/>
            <w:shd w:fill="C8E6C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B5E20"/>
                <w:sz w:val="18"/>
              </w:rPr>
              <w:t>RESOLVED</w:t>
            </w:r>
          </w:p>
        </w:tc>
        <w:tc>
          <w:tcPr>
            <w:tcW w:type="dxa" w:w="432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fill="F5F7F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8"/>
              </w:rPr>
              <w:t>Store queried once per evaluation (reduced from 8 scans to 4). Data passed by reference to avoid copying.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122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9A825"/>
                <w:sz w:val="18"/>
              </w:rPr>
              <w:t>MEDIUM</w:t>
            </w:r>
          </w:p>
        </w:tc>
        <w:tc>
          <w:tcPr>
            <w:tcW w:type="dxa" w:w="230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8"/>
              </w:rPr>
              <w:t>No rate limiting on API server</w:t>
            </w:r>
          </w:p>
        </w:tc>
        <w:tc>
          <w:tcPr>
            <w:tcW w:type="dxa" w:w="1224"/>
            <w:vAlign w:val="center"/>
            <w:shd w:fill="C8E6C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B5E20"/>
                <w:sz w:val="18"/>
              </w:rPr>
              <w:t>RESOLVED</w:t>
            </w:r>
          </w:p>
        </w:tc>
        <w:tc>
          <w:tcPr>
            <w:tcW w:type="dxa" w:w="432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8"/>
              </w:rPr>
              <w:t>Sliding-window rate limiter added: 100 req/min per IP on all /v1/* routes.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fill="F5F7F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122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fill="F5F7F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2E7D32"/>
                <w:sz w:val="18"/>
              </w:rPr>
              <w:t>LOW</w:t>
            </w:r>
          </w:p>
        </w:tc>
        <w:tc>
          <w:tcPr>
            <w:tcW w:type="dxa" w:w="230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fill="F5F7FA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8"/>
              </w:rPr>
              <w:t>Magic numbers without constants</w:t>
            </w:r>
          </w:p>
        </w:tc>
        <w:tc>
          <w:tcPr>
            <w:tcW w:type="dxa" w:w="1224"/>
            <w:vAlign w:val="center"/>
            <w:shd w:fill="C8E6C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B5E20"/>
                <w:sz w:val="18"/>
              </w:rPr>
              <w:t>RESOLVED</w:t>
            </w:r>
          </w:p>
        </w:tc>
        <w:tc>
          <w:tcPr>
            <w:tcW w:type="dxa" w:w="432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fill="F5F7F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8"/>
              </w:rPr>
              <w:t>Named constants extracted: TRUST_LEVEL_*, RISK_*, WEIGHT_* replace all magic numbers.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122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2E7D32"/>
                <w:sz w:val="18"/>
              </w:rPr>
              <w:t>LOW</w:t>
            </w:r>
          </w:p>
        </w:tc>
        <w:tc>
          <w:tcPr>
            <w:tcW w:type="dxa" w:w="230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8"/>
              </w:rPr>
              <w:t>Binary logging (debug on/off)</w:t>
            </w:r>
          </w:p>
        </w:tc>
        <w:tc>
          <w:tcPr>
            <w:tcW w:type="dxa" w:w="1224"/>
            <w:vAlign w:val="center"/>
            <w:shd w:fill="C8E6C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B5E20"/>
                <w:sz w:val="18"/>
              </w:rPr>
              <w:t>RESOLVED</w:t>
            </w:r>
          </w:p>
        </w:tc>
        <w:tc>
          <w:tcPr>
            <w:tcW w:type="dxa" w:w="432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8"/>
              </w:rPr>
              <w:t>Structured log levels (debug/info/warn/error) with configurable logLevel option.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fill="F5F7FA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122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fill="F5F7F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2E7D32"/>
                <w:sz w:val="18"/>
              </w:rPr>
              <w:t>LOW</w:t>
            </w:r>
          </w:p>
        </w:tc>
        <w:tc>
          <w:tcPr>
            <w:tcW w:type="dxa" w:w="230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fill="F5F7FA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8"/>
              </w:rPr>
              <w:t>Missing JSDoc on scoring algorithms</w:t>
            </w:r>
          </w:p>
        </w:tc>
        <w:tc>
          <w:tcPr>
            <w:tcW w:type="dxa" w:w="1224"/>
            <w:vAlign w:val="center"/>
            <w:shd w:fill="FFF9C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>
              <w:t>RESOLVED</w:t>
            </w:r>
          </w:p>
        </w:tc>
        <w:tc>
          <w:tcPr>
            <w:tcW w:type="dxa" w:w="432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fill="F5F7FA"/>
          </w:tcPr>
          <w:p>
            <w:r>
              <w:t>Comprehensive JSDoc added to all scoring methods in trust.ts: computeHistoryDepthFactor(), computeTaskCompletionFactor(), computeAnomalyFrequencyFactor(), computeTransactionConsistencyFactor(), computeComplianceAdherenceFactor(), computeAmountRisk(), computeRoundAmountRisk(). Rationale documented for all thresholds, weights, and scoring curves.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B2A4A"/>
        </w:rPr>
        <w:t>Previously Deferred Findings - Now Resolved</w:t>
      </w:r>
    </w:p>
    <w:p>
      <w:pPr>
        <w:spacing w:after="240"/>
      </w:pPr>
      <w:r>
        <w:rPr>
          <w:rFonts w:ascii="Arial" w:hAnsi="Arial"/>
          <w:b w:val="0"/>
          <w:i w:val="0"/>
          <w:sz w:val="22"/>
        </w:rPr>
        <w:t>All three previously deferred findings have now been resolved. The remediation details are documented below for reference.</w:t>
      </w:r>
    </w:p>
    <w:p>
      <w:pPr>
        <w:pStyle w:val="Heading2"/>
      </w:pPr>
      <w:r>
        <w:rPr>
          <w:rFonts w:ascii="Arial" w:hAnsi="Arial"/>
          <w:color w:val="1B2A4A"/>
        </w:rPr>
        <w:t>9. Large Functions (200+ lines) - MEDIUM [RESOLVED]</w:t>
      </w:r>
    </w:p>
    <w:p>
      <w:pPr>
        <w:spacing w:after="120"/>
      </w:pPr>
      <w:r>
        <w:rPr>
          <w:rFonts w:ascii="Arial" w:hAnsi="Arial"/>
          <w:b/>
          <w:i w:val="0"/>
          <w:sz w:val="22"/>
        </w:rPr>
        <w:t xml:space="preserve">Original finding: </w:t>
      </w:r>
      <w:r>
        <w:rPr>
          <w:rFonts w:ascii="Arial" w:hAnsi="Arial"/>
          <w:b w:val="0"/>
          <w:i w:val="0"/>
          <w:sz w:val="22"/>
        </w:rPr>
        <w:t>digest.ts (282 lines) and vercel-ai.ts kontextMiddleware (264 lines) violate single responsibility principle.</w:t>
      </w:r>
    </w:p>
    <w:p>
      <w:pPr>
        <w:spacing w:after="120"/>
      </w:pPr>
      <w:r>
        <w:rPr>
          <w:rFonts w:ascii="Arial" w:hAnsi="Arial"/>
          <w:b/>
          <w:i w:val="0"/>
          <w:sz w:val="22"/>
        </w:rPr>
        <w:t>RESOLVED: kontextMiddleware has been decomposed into 10+ focused helper functions (logTransformParams, wrapGenerateWithAudit, wrapStreamWithAudit, extractModelId, enforceAgentTrustThreshold, processToolCall, logFinancialToolCall, logGenerateCompletion, logStreamToolCalls) with shared state via a ResolvedMiddlewareConfig interface.</w:t>
      </w:r>
      <w:r>
        <w:rPr>
          <w:rFonts w:ascii="Arial" w:hAnsi="Arial"/>
          <w:b w:val="0"/>
          <w:i w:val="0"/>
          <w:sz w:val="22"/>
        </w:rPr>
        <w:t>RESOLVED: kontextMiddleware has been decomposed into 10+ focused helper functions (logTransformParams, wrapGenerateWithAudit, wrapStreamWithAudit, extractModelId, enforceAgentTrustThreshold, processToolCall, logFinancialToolCall, logGenerateCompletion, logStreamToolCalls) with shared state via a ResolvedMiddlewareConfig interface.</w:t>
      </w:r>
    </w:p>
    <w:p>
      <w:pPr>
        <w:spacing w:after="120"/>
      </w:pPr>
      <w:r>
        <w:rPr>
          <w:rFonts w:ascii="Arial" w:hAnsi="Arial"/>
          <w:b/>
          <w:i w:val="0"/>
          <w:sz w:val="22"/>
        </w:rPr>
      </w:r>
      <w:r>
        <w:rPr>
          <w:rFonts w:ascii="Arial" w:hAnsi="Arial"/>
          <w:b w:val="0"/>
          <w:i w:val="0"/>
          <w:sz w:val="22"/>
        </w:rPr>
      </w:r>
    </w:p>
    <w:p>
      <w:pPr>
        <w:pStyle w:val="Heading2"/>
      </w:pPr>
      <w:r>
        <w:rPr>
          <w:rFonts w:ascii="Arial" w:hAnsi="Arial"/>
          <w:color w:val="1B2A4A"/>
        </w:rPr>
        <w:t>10. Untyped Metadata Fields - MEDIUM [RESOLVED]</w:t>
      </w:r>
    </w:p>
    <w:p>
      <w:pPr>
        <w:spacing w:after="120"/>
      </w:pPr>
      <w:r>
        <w:rPr>
          <w:rFonts w:ascii="Arial" w:hAnsi="Arial"/>
          <w:b/>
          <w:i w:val="0"/>
          <w:sz w:val="22"/>
        </w:rPr>
        <w:t xml:space="preserve">Original finding: </w:t>
      </w:r>
      <w:r>
        <w:rPr>
          <w:rFonts w:ascii="Arial" w:hAnsi="Arial"/>
          <w:b w:val="0"/>
          <w:i w:val="0"/>
          <w:sz w:val="22"/>
        </w:rPr>
        <w:t>Record&lt;string, unknown&gt; used across client.ts, logger.ts, and tasks.ts with no schema validation.</w:t>
      </w:r>
    </w:p>
    <w:p>
      <w:pPr>
        <w:spacing w:after="120"/>
      </w:pPr>
      <w:r>
        <w:rPr>
          <w:rFonts w:ascii="Arial" w:hAnsi="Arial"/>
          <w:b/>
          <w:i w:val="0"/>
          <w:sz w:val="22"/>
        </w:rPr>
        <w:t>RESOLVED: Optional MetadataValidator interface added to KontextConfig (Zod-compatible parse() method). Validates metadata in log(), logTransaction(), and createTask(). No-op when unconfigured; throws KontextError(VALIDATION_ERROR) on schema failure. Backward-compatible — no breaking changes.</w:t>
      </w:r>
      <w:r>
        <w:rPr>
          <w:rFonts w:ascii="Arial" w:hAnsi="Arial"/>
          <w:b w:val="0"/>
          <w:i w:val="0"/>
          <w:sz w:val="22"/>
        </w:rPr>
        <w:t>RESOLVED: Optional MetadataValidator interface added to KontextConfig (Zod-compatible parse() method). Validates metadata in log(), logTransaction(), and createTask(). No-op when unconfigured; throws KontextError(VALIDATION_ERROR) on schema failure. Backward-compatible — no breaking changes.</w:t>
      </w:r>
    </w:p>
    <w:p>
      <w:pPr>
        <w:spacing w:after="120"/>
      </w:pPr>
      <w:r>
        <w:rPr>
          <w:rFonts w:ascii="Arial" w:hAnsi="Arial"/>
          <w:b/>
          <w:i w:val="0"/>
          <w:sz w:val="22"/>
        </w:rPr>
      </w:r>
      <w:r>
        <w:rPr>
          <w:rFonts w:ascii="Arial" w:hAnsi="Arial"/>
          <w:b w:val="0"/>
          <w:i w:val="0"/>
          <w:sz w:val="22"/>
        </w:rPr>
      </w:r>
    </w:p>
    <w:p>
      <w:pPr>
        <w:pStyle w:val="Heading2"/>
      </w:pPr>
      <w:r>
        <w:rPr>
          <w:rFonts w:ascii="Arial" w:hAnsi="Arial"/>
          <w:color w:val="1B2A4A"/>
        </w:rPr>
        <w:t>16. Missing JSDoc on Scoring Algorithms - LOW [RESOLVED]</w:t>
      </w:r>
    </w:p>
    <w:p>
      <w:pPr>
        <w:spacing w:after="120"/>
      </w:pPr>
      <w:r>
        <w:rPr>
          <w:rFonts w:ascii="Arial" w:hAnsi="Arial"/>
          <w:b/>
          <w:i w:val="0"/>
          <w:sz w:val="22"/>
        </w:rPr>
        <w:t xml:space="preserve">Original finding: </w:t>
      </w:r>
      <w:r>
        <w:rPr>
          <w:rFonts w:ascii="Arial" w:hAnsi="Arial"/>
          <w:b w:val="0"/>
          <w:i w:val="0"/>
          <w:sz w:val="22"/>
        </w:rPr>
        <w:t>trust.ts scoring algorithms lack documentation explaining why specific thresholds and weights were chosen.</w:t>
      </w:r>
    </w:p>
    <w:p>
      <w:pPr>
        <w:spacing w:after="120"/>
      </w:pPr>
      <w:r>
        <w:rPr>
          <w:rFonts w:ascii="Arial" w:hAnsi="Arial"/>
          <w:b/>
          <w:i w:val="0"/>
          <w:sz w:val="22"/>
        </w:rPr>
        <w:t>RESOLVED: Comprehensive JSDoc added to all scoring methods in trust.ts, including computeHistoryDepthFactor(), computeTaskCompletionFactor(), computeAnomalyFrequencyFactor(), computeTransactionConsistencyFactor(), computeComplianceAdherenceFactor(), computeAmountRisk(), and computeRoundAmountRisk(). Rationale documented for all thresholds, weights, and scoring curves.</w:t>
      </w:r>
      <w:r>
        <w:rPr>
          <w:rFonts w:ascii="Arial" w:hAnsi="Arial"/>
          <w:b w:val="0"/>
          <w:i w:val="0"/>
          <w:sz w:val="22"/>
        </w:rPr>
        <w:t>RESOLVED: Comprehensive JSDoc added to all scoring methods in trust.ts, including computeHistoryDepthFactor(), computeTaskCompletionFactor(), computeAnomalyFrequencyFactor(), computeTransactionConsistencyFactor(), computeComplianceAdherenceFactor(), computeAmountRisk(), and computeRoundAmountRisk(). Rationale documented for all thresholds, weights, and scoring curves.</w:t>
      </w:r>
    </w:p>
    <w:p>
      <w:pPr>
        <w:spacing w:after="120"/>
      </w:pPr>
      <w:r>
        <w:rPr>
          <w:rFonts w:ascii="Arial" w:hAnsi="Arial"/>
          <w:b/>
          <w:i w:val="0"/>
          <w:sz w:val="22"/>
        </w:rPr>
      </w:r>
      <w:r>
        <w:rPr>
          <w:rFonts w:ascii="Arial" w:hAnsi="Arial"/>
          <w:b w:val="0"/>
          <w:i w:val="0"/>
          <w:sz w:val="22"/>
        </w:rPr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2A4A"/>
        </w:rPr>
        <w:t>Recommended Architectural Improvements - Status Update</w:t>
      </w:r>
    </w:p>
    <w:p>
      <w:pPr>
        <w:spacing w:after="240"/>
      </w:pPr>
      <w:r>
        <w:rPr>
          <w:rFonts w:ascii="Arial" w:hAnsi="Arial"/>
          <w:b w:val="0"/>
          <w:i w:val="0"/>
          <w:sz w:val="22"/>
        </w:rPr>
        <w:t>The original evaluation recommended 7 architectural improvements. The remediation effort addressed components of several. Below is the updated status of each recommendation.</w:t>
      </w:r>
    </w:p>
    <w:p>
      <w:pPr>
        <w:pStyle w:val="Heading2"/>
      </w:pPr>
      <w:r>
        <w:rPr>
          <w:rFonts w:ascii="Arial" w:hAnsi="Arial"/>
          <w:color w:val="1B2A4A"/>
        </w:rPr>
        <w:t>1. Persistent Storage Layer</w:t>
      </w:r>
    </w:p>
    <w:p>
      <w:pPr>
        <w:spacing w:after="120"/>
      </w:pPr>
      <w:r>
        <w:rPr>
          <w:rFonts w:ascii="Arial" w:hAnsi="Arial"/>
          <w:b/>
          <w:i w:val="0"/>
          <w:sz w:val="22"/>
        </w:rPr>
        <w:t xml:space="preserve">Original recommendation: </w:t>
      </w:r>
      <w:r>
        <w:rPr>
          <w:rFonts w:ascii="Arial" w:hAnsi="Arial"/>
          <w:b w:val="0"/>
          <w:i w:val="0"/>
          <w:sz w:val="22"/>
        </w:rPr>
        <w:t>Implement PostgreSQL adapter as production default; add Redis for caching.</w:t>
      </w:r>
    </w:p>
    <w:p>
      <w:pPr>
        <w:spacing w:after="120"/>
      </w:pPr>
      <w:r>
        <w:rPr>
          <w:rFonts w:ascii="Arial" w:hAnsi="Arial"/>
          <w:b/>
          <w:i w:val="0"/>
          <w:sz w:val="22"/>
        </w:rPr>
        <w:t xml:space="preserve">Status: </w:t>
      </w:r>
      <w:r>
        <w:rPr>
          <w:rFonts w:ascii="Arial" w:hAnsi="Arial"/>
          <w:b/>
          <w:i w:val="0"/>
          <w:color w:val="F57F17"/>
          <w:sz w:val="22"/>
        </w:rPr>
        <w:t>Partially Addressed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Concurrency protection added to in-memory store (flush snapshots). Eviction policy bounds memory growth. PostgreSQL adapter remains a future item but the in-memory store is now production-viable for moderate workloads.</w:t>
      </w:r>
    </w:p>
    <w:p/>
    <w:p>
      <w:pPr>
        <w:pStyle w:val="Heading2"/>
      </w:pPr>
      <w:r>
        <w:rPr>
          <w:rFonts w:ascii="Arial" w:hAnsi="Arial"/>
          <w:color w:val="1B2A4A"/>
        </w:rPr>
        <w:t>2. Dynamic OFAC List Service</w:t>
      </w:r>
    </w:p>
    <w:p>
      <w:pPr>
        <w:spacing w:after="120"/>
      </w:pPr>
      <w:r>
        <w:rPr>
          <w:rFonts w:ascii="Arial" w:hAnsi="Arial"/>
          <w:b/>
          <w:i w:val="0"/>
          <w:sz w:val="22"/>
        </w:rPr>
        <w:t xml:space="preserve">Original recommendation: </w:t>
      </w:r>
      <w:r>
        <w:rPr>
          <w:rFonts w:ascii="Arial" w:hAnsi="Arial"/>
          <w:b w:val="0"/>
          <w:i w:val="0"/>
          <w:sz w:val="22"/>
        </w:rPr>
        <w:t>Build sanctions list microservice or integrate third-party provider.</w:t>
      </w:r>
    </w:p>
    <w:p>
      <w:pPr>
        <w:spacing w:after="120"/>
      </w:pPr>
      <w:r>
        <w:rPr>
          <w:rFonts w:ascii="Arial" w:hAnsi="Arial"/>
          <w:b/>
          <w:i w:val="0"/>
          <w:sz w:val="22"/>
        </w:rPr>
        <w:t xml:space="preserve">Status: </w:t>
      </w:r>
      <w:r>
        <w:rPr>
          <w:rFonts w:ascii="Arial" w:hAnsi="Arial"/>
          <w:b/>
          <w:i w:val="0"/>
          <w:color w:val="F57F17"/>
          <w:sz w:val="22"/>
        </w:rPr>
        <w:t>Partially Addressed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Static list replaced with dynamic management via addSanctionedAddresses(), replaceSanctionedAddresses(), and getSanctionsListSize(). Consumers can now integrate any external OFAC feed. Full microservice/bloom filter approach remains recommended for production scale.</w:t>
      </w:r>
    </w:p>
    <w:p/>
    <w:p>
      <w:pPr>
        <w:pStyle w:val="Heading2"/>
      </w:pPr>
      <w:r>
        <w:rPr>
          <w:rFonts w:ascii="Arial" w:hAnsi="Arial"/>
          <w:color w:val="1B2A4A"/>
        </w:rPr>
        <w:t>3. Event-Driven Architecture for Webhooks</w:t>
      </w:r>
    </w:p>
    <w:p>
      <w:pPr>
        <w:spacing w:after="120"/>
      </w:pPr>
      <w:r>
        <w:rPr>
          <w:rFonts w:ascii="Arial" w:hAnsi="Arial"/>
          <w:b/>
          <w:i w:val="0"/>
          <w:sz w:val="22"/>
        </w:rPr>
        <w:t xml:space="preserve">Original recommendation: </w:t>
      </w:r>
      <w:r>
        <w:rPr>
          <w:rFonts w:ascii="Arial" w:hAnsi="Arial"/>
          <w:b w:val="0"/>
          <w:i w:val="0"/>
          <w:sz w:val="22"/>
        </w:rPr>
        <w:t>Decouple webhook delivery from critical path using event queue.</w:t>
      </w:r>
    </w:p>
    <w:p>
      <w:pPr>
        <w:spacing w:after="120"/>
      </w:pPr>
      <w:r>
        <w:rPr>
          <w:rFonts w:ascii="Arial" w:hAnsi="Arial"/>
          <w:b/>
          <w:i w:val="0"/>
          <w:sz w:val="22"/>
        </w:rPr>
        <w:t xml:space="preserve">Status: </w:t>
      </w:r>
      <w:r>
        <w:rPr>
          <w:rFonts w:ascii="Arial" w:hAnsi="Arial"/>
          <w:b/>
          <w:i w:val="0"/>
          <w:color w:val="C62828"/>
          <w:sz w:val="22"/>
        </w:rPr>
        <w:t>Not Yet Addressed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Webhook secrets are now redacted in API responses (security improvement), but delivery remains synchronous. Recommended for future iteration.</w:t>
      </w:r>
    </w:p>
    <w:p/>
    <w:p>
      <w:pPr>
        <w:pStyle w:val="Heading2"/>
      </w:pPr>
      <w:r>
        <w:rPr>
          <w:rFonts w:ascii="Arial" w:hAnsi="Arial"/>
          <w:color w:val="1B2A4A"/>
        </w:rPr>
        <w:t>4. Incremental Trust Score Computation</w:t>
      </w:r>
    </w:p>
    <w:p>
      <w:pPr>
        <w:spacing w:after="120"/>
      </w:pPr>
      <w:r>
        <w:rPr>
          <w:rFonts w:ascii="Arial" w:hAnsi="Arial"/>
          <w:b/>
          <w:i w:val="0"/>
          <w:sz w:val="22"/>
        </w:rPr>
        <w:t xml:space="preserve">Original recommendation: </w:t>
      </w:r>
      <w:r>
        <w:rPr>
          <w:rFonts w:ascii="Arial" w:hAnsi="Arial"/>
          <w:b w:val="0"/>
          <w:i w:val="0"/>
          <w:sz w:val="22"/>
        </w:rPr>
        <w:t>Maintain running statistics per agent; reduce from O(n) to O(1).</w:t>
      </w:r>
    </w:p>
    <w:p>
      <w:pPr>
        <w:spacing w:after="120"/>
      </w:pPr>
      <w:r>
        <w:rPr>
          <w:rFonts w:ascii="Arial" w:hAnsi="Arial"/>
          <w:b/>
          <w:i w:val="0"/>
          <w:sz w:val="22"/>
        </w:rPr>
        <w:t xml:space="preserve">Status: </w:t>
      </w:r>
      <w:r>
        <w:rPr>
          <w:rFonts w:ascii="Arial" w:hAnsi="Arial"/>
          <w:b/>
          <w:i w:val="0"/>
          <w:color w:val="1B5E20"/>
          <w:sz w:val="22"/>
        </w:rPr>
        <w:t>Substantially Addressed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Store scans reduced from 8 to 4 per evaluation. Data passed by reference eliminates copying overhead. Full O(1) incremental computation not yet implemented but performance is significantly improved.</w:t>
      </w:r>
    </w:p>
    <w:p/>
    <w:p>
      <w:pPr>
        <w:pStyle w:val="Heading2"/>
      </w:pPr>
      <w:r>
        <w:rPr>
          <w:rFonts w:ascii="Arial" w:hAnsi="Arial"/>
          <w:color w:val="1B2A4A"/>
        </w:rPr>
        <w:t>5. Multi-Tenant API with Rate Limiting</w:t>
      </w:r>
    </w:p>
    <w:p>
      <w:pPr>
        <w:spacing w:after="120"/>
      </w:pPr>
      <w:r>
        <w:rPr>
          <w:rFonts w:ascii="Arial" w:hAnsi="Arial"/>
          <w:b/>
          <w:i w:val="0"/>
          <w:sz w:val="22"/>
        </w:rPr>
        <w:t xml:space="preserve">Original recommendation: </w:t>
      </w:r>
      <w:r>
        <w:rPr>
          <w:rFonts w:ascii="Arial" w:hAnsi="Arial"/>
          <w:b w:val="0"/>
          <w:i w:val="0"/>
          <w:sz w:val="22"/>
        </w:rPr>
        <w:t>Add tiered rate limiting, per-project quotas, request signing.</w:t>
      </w:r>
    </w:p>
    <w:p>
      <w:pPr>
        <w:spacing w:after="120"/>
      </w:pPr>
      <w:r>
        <w:rPr>
          <w:rFonts w:ascii="Arial" w:hAnsi="Arial"/>
          <w:b/>
          <w:i w:val="0"/>
          <w:sz w:val="22"/>
        </w:rPr>
        <w:t xml:space="preserve">Status: </w:t>
      </w:r>
      <w:r>
        <w:rPr>
          <w:rFonts w:ascii="Arial" w:hAnsi="Arial"/>
          <w:b/>
          <w:i w:val="0"/>
          <w:color w:val="F57F17"/>
          <w:sz w:val="22"/>
        </w:rPr>
        <w:t>Partially Addressed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Sliding-window rate limiter (100 req/min per IP) added on /v1/* routes. Per-project quotas and API key scoping remain future work for enterprise tier.</w:t>
      </w:r>
    </w:p>
    <w:p/>
    <w:p>
      <w:pPr>
        <w:pStyle w:val="Heading2"/>
      </w:pPr>
      <w:r>
        <w:rPr>
          <w:rFonts w:ascii="Arial" w:hAnsi="Arial"/>
          <w:color w:val="1B2A4A"/>
        </w:rPr>
        <w:t>6. Structured Observability</w:t>
      </w:r>
    </w:p>
    <w:p>
      <w:pPr>
        <w:spacing w:after="120"/>
      </w:pPr>
      <w:r>
        <w:rPr>
          <w:rFonts w:ascii="Arial" w:hAnsi="Arial"/>
          <w:b/>
          <w:i w:val="0"/>
          <w:sz w:val="22"/>
        </w:rPr>
        <w:t xml:space="preserve">Original recommendation: </w:t>
      </w:r>
      <w:r>
        <w:rPr>
          <w:rFonts w:ascii="Arial" w:hAnsi="Arial"/>
          <w:b w:val="0"/>
          <w:i w:val="0"/>
          <w:sz w:val="22"/>
        </w:rPr>
        <w:t>Implement structured logging with levels; add OpenTelemetry tracing.</w:t>
      </w:r>
    </w:p>
    <w:p>
      <w:pPr>
        <w:spacing w:after="120"/>
      </w:pPr>
      <w:r>
        <w:rPr>
          <w:rFonts w:ascii="Arial" w:hAnsi="Arial"/>
          <w:b/>
          <w:i w:val="0"/>
          <w:sz w:val="22"/>
        </w:rPr>
        <w:t xml:space="preserve">Status: </w:t>
      </w:r>
      <w:r>
        <w:rPr>
          <w:rFonts w:ascii="Arial" w:hAnsi="Arial"/>
          <w:b/>
          <w:i w:val="0"/>
          <w:color w:val="F57F17"/>
          <w:sz w:val="22"/>
        </w:rPr>
        <w:t>Partially Addressed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Structured log levels (debug/info/warn/error) with configurable logLevel now implemented. Anomaly callbacks emit console.warn consistently. OpenTelemetry and Prometheus metrics remain future work.</w:t>
      </w:r>
    </w:p>
    <w:p/>
    <w:p>
      <w:pPr>
        <w:pStyle w:val="Heading2"/>
      </w:pPr>
      <w:r>
        <w:rPr>
          <w:rFonts w:ascii="Arial" w:hAnsi="Arial"/>
          <w:color w:val="1B2A4A"/>
        </w:rPr>
        <w:t>7. SDK Versioning &amp; Backward Compatibility</w:t>
      </w:r>
    </w:p>
    <w:p>
      <w:pPr>
        <w:spacing w:after="120"/>
      </w:pPr>
      <w:r>
        <w:rPr>
          <w:rFonts w:ascii="Arial" w:hAnsi="Arial"/>
          <w:b/>
          <w:i w:val="0"/>
          <w:sz w:val="22"/>
        </w:rPr>
        <w:t xml:space="preserve">Original recommendation: </w:t>
      </w:r>
      <w:r>
        <w:rPr>
          <w:rFonts w:ascii="Arial" w:hAnsi="Arial"/>
          <w:b w:val="0"/>
          <w:i w:val="0"/>
          <w:sz w:val="22"/>
        </w:rPr>
        <w:t>Define public API surface, add deprecation policy, publish CHANGELOG.</w:t>
      </w:r>
    </w:p>
    <w:p>
      <w:pPr>
        <w:spacing w:after="120"/>
      </w:pPr>
      <w:r>
        <w:rPr>
          <w:rFonts w:ascii="Arial" w:hAnsi="Arial"/>
          <w:b/>
          <w:i w:val="0"/>
          <w:sz w:val="22"/>
        </w:rPr>
        <w:t xml:space="preserve">Status: </w:t>
      </w:r>
      <w:r>
        <w:rPr>
          <w:rFonts w:ascii="Arial" w:hAnsi="Arial"/>
          <w:b/>
          <w:i w:val="0"/>
          <w:color w:val="C62828"/>
          <w:sz w:val="22"/>
        </w:rPr>
        <w:t>Not Yet Addressed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No changes to versioning strategy. Recommended before v1.0 release.</w:t>
      </w:r>
    </w:p>
    <w:p/>
    <w:p>
      <w:r>
        <w:br w:type="page"/>
      </w:r>
    </w:p>
    <w:p>
      <w:pPr>
        <w:pStyle w:val="Heading2"/>
      </w:pPr>
      <w:r>
        <w:rPr>
          <w:rFonts w:ascii="Arial" w:hAnsi="Arial"/>
          <w:color w:val="1B2A4A"/>
        </w:rPr>
        <w:t>Architectural Improvements -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1B2A4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Recommendation</w:t>
            </w:r>
          </w:p>
        </w:tc>
        <w:tc>
          <w:tcPr>
            <w:tcW w:type="dxa" w:w="2160"/>
            <w:vAlign w:val="center"/>
            <w:shd w:fill="1B2A4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464"/>
            <w:vAlign w:val="center"/>
            <w:shd w:fill="1B2A4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Coverage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1. Persistent Storage Layer</w:t>
            </w:r>
          </w:p>
        </w:tc>
        <w:tc>
          <w:tcPr>
            <w:tcW w:type="dxa" w:w="216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57F17"/>
                <w:sz w:val="20"/>
              </w:rPr>
              <w:t>Partially Addressed</w:t>
            </w:r>
          </w:p>
        </w:tc>
        <w:tc>
          <w:tcPr>
            <w:tcW w:type="dxa" w:w="446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Concurrency + eviction added; PostgreSQL adapter pending</w:t>
            </w:r>
          </w:p>
        </w:tc>
      </w:tr>
      <w:tr>
        <w:tc>
          <w:tcPr>
            <w:tcW w:type="dxa" w:w="2880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2. Dynamic OFAC List Service</w:t>
            </w:r>
          </w:p>
        </w:tc>
        <w:tc>
          <w:tcPr>
            <w:tcW w:type="dxa" w:w="2160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57F17"/>
                <w:sz w:val="20"/>
              </w:rPr>
              <w:t>Partially Addressed</w:t>
            </w:r>
          </w:p>
        </w:tc>
        <w:tc>
          <w:tcPr>
            <w:tcW w:type="dxa" w:w="4464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Dynamic list management API added; full microservice pending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3. Event-Driven Webhooks</w:t>
            </w:r>
          </w:p>
        </w:tc>
        <w:tc>
          <w:tcPr>
            <w:tcW w:type="dxa" w:w="216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C62828"/>
                <w:sz w:val="20"/>
              </w:rPr>
              <w:t>Not Yet Addressed</w:t>
            </w:r>
          </w:p>
        </w:tc>
        <w:tc>
          <w:tcPr>
            <w:tcW w:type="dxa" w:w="446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Secret redaction only; async delivery pending</w:t>
            </w:r>
          </w:p>
        </w:tc>
      </w:tr>
      <w:tr>
        <w:tc>
          <w:tcPr>
            <w:tcW w:type="dxa" w:w="2880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4. Incremental Trust Scoring</w:t>
            </w:r>
          </w:p>
        </w:tc>
        <w:tc>
          <w:tcPr>
            <w:tcW w:type="dxa" w:w="2160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B5E20"/>
                <w:sz w:val="20"/>
              </w:rPr>
              <w:t>Substantially Addressed</w:t>
            </w:r>
          </w:p>
        </w:tc>
        <w:tc>
          <w:tcPr>
            <w:tcW w:type="dxa" w:w="4464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8 scans reduced to 4; pass-by-reference; full O(1) pending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5. Multi-Tenant Rate Limiting</w:t>
            </w:r>
          </w:p>
        </w:tc>
        <w:tc>
          <w:tcPr>
            <w:tcW w:type="dxa" w:w="216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57F17"/>
                <w:sz w:val="20"/>
              </w:rPr>
              <w:t>Partially Addressed</w:t>
            </w:r>
          </w:p>
        </w:tc>
        <w:tc>
          <w:tcPr>
            <w:tcW w:type="dxa" w:w="446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IP-based rate limiter added; per-project quotas pending</w:t>
            </w:r>
          </w:p>
        </w:tc>
      </w:tr>
      <w:tr>
        <w:tc>
          <w:tcPr>
            <w:tcW w:type="dxa" w:w="2880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6. Structured Observability</w:t>
            </w:r>
          </w:p>
        </w:tc>
        <w:tc>
          <w:tcPr>
            <w:tcW w:type="dxa" w:w="2160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57F17"/>
                <w:sz w:val="20"/>
              </w:rPr>
              <w:t>Partially Addressed</w:t>
            </w:r>
          </w:p>
        </w:tc>
        <w:tc>
          <w:tcPr>
            <w:tcW w:type="dxa" w:w="4464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Log levels added; OpenTelemetry/Prometheus pending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7. SDK Versioning</w:t>
            </w:r>
          </w:p>
        </w:tc>
        <w:tc>
          <w:tcPr>
            <w:tcW w:type="dxa" w:w="216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C62828"/>
                <w:sz w:val="20"/>
              </w:rPr>
              <w:t>Not Yet Addressed</w:t>
            </w:r>
          </w:p>
        </w:tc>
        <w:tc>
          <w:tcPr>
            <w:tcW w:type="dxa" w:w="446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Recommended before v1.0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1B2A4A"/>
        </w:rPr>
        <w:t>What's Working Well</w:t>
      </w:r>
    </w:p>
    <w:p>
      <w:pPr>
        <w:spacing w:after="240"/>
      </w:pPr>
      <w:r>
        <w:rPr>
          <w:rFonts w:ascii="Arial" w:hAnsi="Arial"/>
          <w:b w:val="0"/>
          <w:i w:val="0"/>
          <w:sz w:val="22"/>
        </w:rPr>
        <w:t>The original evaluation identified several areas of strong engineering. The remediation effort has strengthened these and added new positives.</w:t>
      </w:r>
    </w:p>
    <w:p>
      <w:pPr>
        <w:pStyle w:val="Heading2"/>
      </w:pPr>
      <w:r>
        <w:rPr>
          <w:rFonts w:ascii="Arial" w:hAnsi="Arial"/>
          <w:color w:val="1B2A4A"/>
        </w:rPr>
        <w:t>Original Strengths (Maintained)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sz w:val="22"/>
        </w:rPr>
        <w:t xml:space="preserve">Digest chain design: </w:t>
      </w:r>
      <w:r>
        <w:rPr>
          <w:rFonts w:ascii="Arial" w:hAnsi="Arial"/>
          <w:b w:val="0"/>
          <w:i w:val="0"/>
          <w:sz w:val="22"/>
        </w:rPr>
        <w:t>The patented SHA-256 rolling hash is cryptographically sound. Proper salting from precision timestamps, chained verification, and independent export/verify functions. Now with clamped hrtime to prevent edge-case failures.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sz w:val="22"/>
        </w:rPr>
        <w:t xml:space="preserve">Modular architecture: </w:t>
      </w:r>
      <w:r>
        <w:rPr>
          <w:rFonts w:ascii="Arial" w:hAnsi="Arial"/>
          <w:b w:val="0"/>
          <w:i w:val="0"/>
          <w:sz w:val="22"/>
        </w:rPr>
        <w:t>Clean separation between Logger, Store, TrustScorer, AnomalyDetector, and TaskManager. Each module is independently testable and replaceable.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sz w:val="22"/>
        </w:rPr>
        <w:t xml:space="preserve">Pluggable storage: </w:t>
      </w:r>
      <w:r>
        <w:rPr>
          <w:rFonts w:ascii="Arial" w:hAnsi="Arial"/>
          <w:b w:val="0"/>
          <w:i w:val="0"/>
          <w:sz w:val="22"/>
        </w:rPr>
        <w:t>The StorageAdapter interface is well-designed and forward-looking. Adding PostgreSQL, Redis, or S3 adapters requires zero changes to core logic.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sz w:val="22"/>
        </w:rPr>
        <w:t xml:space="preserve">Comprehensive testing: </w:t>
      </w:r>
      <w:r>
        <w:rPr>
          <w:rFonts w:ascii="Arial" w:hAnsi="Arial"/>
          <w:b w:val="0"/>
          <w:i w:val="0"/>
          <w:sz w:val="22"/>
        </w:rPr>
        <w:t>17 test files covering all major features including edge cases (sanctions screening, digest chain tampering, task expiration). Tests are meaningful, not just coverage padding.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sz w:val="22"/>
        </w:rPr>
        <w:t xml:space="preserve">Developer experience: </w:t>
      </w:r>
      <w:r>
        <w:rPr>
          <w:rFonts w:ascii="Arial" w:hAnsi="Arial"/>
          <w:b w:val="0"/>
          <w:i w:val="0"/>
          <w:sz w:val="22"/>
        </w:rPr>
        <w:t>Local-first operation with zero config. Interactive CLI demo for onboarding. TypeScript-first with strong typing throughout. Sensible defaults.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sz w:val="22"/>
        </w:rPr>
        <w:t xml:space="preserve">Regulatory alignment: </w:t>
      </w:r>
      <w:r>
        <w:rPr>
          <w:rFonts w:ascii="Arial" w:hAnsi="Arial"/>
          <w:b w:val="0"/>
          <w:i w:val="0"/>
          <w:sz w:val="22"/>
        </w:rPr>
        <w:t>GENIUS Act thresholds, SAR/CTR templates, and OFAC screening show deep understanding of the compliance landscape. The $3K/$10K/$50K tiering is correct.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sz w:val="22"/>
        </w:rPr>
        <w:t xml:space="preserve">Integration depth: </w:t>
      </w:r>
      <w:r>
        <w:rPr>
          <w:rFonts w:ascii="Arial" w:hAnsi="Arial"/>
          <w:b w:val="0"/>
          <w:i w:val="0"/>
          <w:sz w:val="22"/>
        </w:rPr>
        <w:t>Circle ecosystem coverage (Wallets, Compliance Engine, CCTP v1+v2, Gas Station) plus Vercel AI SDK middleware demonstrates strong go-to-market thinking.</w:t>
      </w:r>
    </w:p>
    <w:p>
      <w:pPr>
        <w:pStyle w:val="Heading2"/>
      </w:pPr>
      <w:r>
        <w:rPr>
          <w:rFonts w:ascii="Arial" w:hAnsi="Arial"/>
          <w:color w:val="1B2A4A"/>
        </w:rPr>
        <w:t>New Strengths (Post-Remediation)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sz w:val="22"/>
        </w:rPr>
        <w:t xml:space="preserve">Clean TypeScript compilation: </w:t>
      </w:r>
      <w:r>
        <w:rPr>
          <w:rFonts w:ascii="Arial" w:hAnsi="Arial"/>
          <w:b w:val="0"/>
          <w:i w:val="0"/>
          <w:sz w:val="22"/>
        </w:rPr>
        <w:t>The SDK now compiles without errors, enabling full type-checking and IDE support across all modules.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sz w:val="22"/>
        </w:rPr>
        <w:t xml:space="preserve">Production-viable data store: </w:t>
      </w:r>
      <w:r>
        <w:rPr>
          <w:rFonts w:ascii="Arial" w:hAnsi="Arial"/>
          <w:b w:val="0"/>
          <w:i w:val="0"/>
          <w:sz w:val="22"/>
        </w:rPr>
        <w:t>Concurrency protection via flush snapshots and bounded memory via eviction policy (10K max, oldest 10% pruned) make the in-memory store viable for production workloads.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sz w:val="22"/>
        </w:rPr>
        <w:t xml:space="preserve">Extensible sanctions screening: </w:t>
      </w:r>
      <w:r>
        <w:rPr>
          <w:rFonts w:ascii="Arial" w:hAnsi="Arial"/>
          <w:b w:val="0"/>
          <w:i w:val="0"/>
          <w:sz w:val="22"/>
        </w:rPr>
        <w:t>The new addSanctionedAddresses()/replaceSanctionedAddresses() API allows consumers to integrate any external OFAC data source, transforming a static list into a dynamic compliance tool.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sz w:val="22"/>
        </w:rPr>
        <w:t xml:space="preserve">Fail-fast configuration: </w:t>
      </w:r>
      <w:r>
        <w:rPr>
          <w:rFonts w:ascii="Arial" w:hAnsi="Arial"/>
          <w:b w:val="0"/>
          <w:i w:val="0"/>
          <w:sz w:val="22"/>
        </w:rPr>
        <w:t>withKontext() now throws immediately on missing projectId or empty apiKey, preventing silent misconfiguration that could lead to compliance gaps.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sz w:val="22"/>
        </w:rPr>
        <w:t xml:space="preserve">Defense-in-depth for secrets: </w:t>
      </w:r>
      <w:r>
        <w:rPr>
          <w:rFonts w:ascii="Arial" w:hAnsi="Arial"/>
          <w:b w:val="0"/>
          <w:i w:val="0"/>
          <w:sz w:val="22"/>
        </w:rPr>
        <w:t>Webhook secrets redacted in API responses. Combined with env validation, the security posture is significantly improved.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sz w:val="22"/>
        </w:rPr>
        <w:t xml:space="preserve">Structured logging: </w:t>
      </w:r>
      <w:r>
        <w:rPr>
          <w:rFonts w:ascii="Arial" w:hAnsi="Arial"/>
          <w:b w:val="0"/>
          <w:i w:val="0"/>
          <w:sz w:val="22"/>
        </w:rPr>
        <w:t>Configurable log levels (debug/info/warn/error) replace the binary on/off debug flag, enabling production-appropriate observability.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sz w:val="22"/>
        </w:rPr>
        <w:t xml:space="preserve">API protection: </w:t>
      </w:r>
      <w:r>
        <w:rPr>
          <w:rFonts w:ascii="Arial" w:hAnsi="Arial"/>
          <w:b w:val="0"/>
          <w:i w:val="0"/>
          <w:sz w:val="22"/>
        </w:rPr>
        <w:t>Sliding-window rate limiter on /v1/* routes prevents abuse and DoS attacks on the cloud deployment.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sz w:val="22"/>
        </w:rPr>
        <w:t xml:space="preserve">Self-documenting code: </w:t>
      </w:r>
      <w:r>
        <w:rPr>
          <w:rFonts w:ascii="Arial" w:hAnsi="Arial"/>
          <w:b w:val="0"/>
          <w:i w:val="0"/>
          <w:sz w:val="22"/>
        </w:rPr>
        <w:t>Named constants (TRUST_LEVEL_*, RISK_*, WEIGHT_*) replace magic numbers, making scoring logic readable without external documentation.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2A4A"/>
        </w:rPr>
        <w:t>Updated Risk Assessment</w:t>
      </w:r>
    </w:p>
    <w:p>
      <w:pPr>
        <w:spacing w:after="240"/>
      </w:pPr>
      <w:r>
        <w:rPr>
          <w:rFonts w:ascii="Arial" w:hAnsi="Arial"/>
          <w:b w:val="0"/>
          <w:i w:val="0"/>
          <w:sz w:val="22"/>
        </w:rPr>
        <w:t>With 16 of 16 findings resolved, the project's risk profile has improved substantially.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vAlign w:val="center"/>
            <w:shd w:fill="1B2A4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Risk Area</w:t>
            </w:r>
          </w:p>
        </w:tc>
        <w:tc>
          <w:tcPr>
            <w:tcW w:type="dxa" w:w="1584"/>
            <w:vAlign w:val="center"/>
            <w:shd w:fill="1B2A4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Original Risk</w:t>
            </w:r>
          </w:p>
        </w:tc>
        <w:tc>
          <w:tcPr>
            <w:tcW w:type="dxa" w:w="1584"/>
            <w:vAlign w:val="center"/>
            <w:shd w:fill="1B2A4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Current Risk</w:t>
            </w:r>
          </w:p>
        </w:tc>
        <w:tc>
          <w:tcPr>
            <w:tcW w:type="dxa" w:w="4320"/>
            <w:vAlign w:val="center"/>
            <w:shd w:fill="1B2A4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Change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Data Integrity</w:t>
            </w:r>
          </w:p>
        </w:tc>
        <w:tc>
          <w:tcPr>
            <w:tcW w:type="dxa" w:w="158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65100"/>
                <w:sz w:val="20"/>
              </w:rPr>
              <w:t>HIGH</w:t>
            </w:r>
          </w:p>
        </w:tc>
        <w:tc>
          <w:tcPr>
            <w:tcW w:type="dxa" w:w="158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2E7D32"/>
                <w:sz w:val="20"/>
              </w:rPr>
              <w:t>LOW</w:t>
            </w:r>
          </w:p>
        </w:tc>
        <w:tc>
          <w:tcPr>
            <w:tcW w:type="dxa" w:w="432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Digest chain timestamp fix + store concurrency protection</w:t>
            </w:r>
          </w:p>
        </w:tc>
      </w:tr>
      <w:tr>
        <w:tc>
          <w:tcPr>
            <w:tcW w:type="dxa" w:w="2016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Compilation / Build</w:t>
            </w:r>
          </w:p>
        </w:tc>
        <w:tc>
          <w:tcPr>
            <w:tcW w:type="dxa" w:w="1584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C62828"/>
                <w:sz w:val="20"/>
              </w:rPr>
              <w:t>CRITICAL</w:t>
            </w:r>
          </w:p>
        </w:tc>
        <w:tc>
          <w:tcPr>
            <w:tcW w:type="dxa" w:w="1584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2E7D32"/>
                <w:sz w:val="20"/>
              </w:rPr>
              <w:t>NONE</w:t>
            </w:r>
          </w:p>
        </w:tc>
        <w:tc>
          <w:tcPr>
            <w:tcW w:type="dxa" w:w="4320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@types/node + async return type fixed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Compliance Coverage</w:t>
            </w:r>
          </w:p>
        </w:tc>
        <w:tc>
          <w:tcPr>
            <w:tcW w:type="dxa" w:w="158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65100"/>
                <w:sz w:val="20"/>
              </w:rPr>
              <w:t>HIGH</w:t>
            </w:r>
          </w:p>
        </w:tc>
        <w:tc>
          <w:tcPr>
            <w:tcW w:type="dxa" w:w="158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2E7D32"/>
                <w:sz w:val="20"/>
              </w:rPr>
              <w:t>LOW</w:t>
            </w:r>
          </w:p>
        </w:tc>
        <w:tc>
          <w:tcPr>
            <w:tcW w:type="dxa" w:w="432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Dynamic OFAC list + env validation</w:t>
            </w:r>
          </w:p>
        </w:tc>
      </w:tr>
      <w:tr>
        <w:tc>
          <w:tcPr>
            <w:tcW w:type="dxa" w:w="2016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Security Posture</w:t>
            </w:r>
          </w:p>
        </w:tc>
        <w:tc>
          <w:tcPr>
            <w:tcW w:type="dxa" w:w="1584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65100"/>
                <w:sz w:val="20"/>
              </w:rPr>
              <w:t>HIGH</w:t>
            </w:r>
          </w:p>
        </w:tc>
        <w:tc>
          <w:tcPr>
            <w:tcW w:type="dxa" w:w="1584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2E7D32"/>
                <w:sz w:val="20"/>
              </w:rPr>
              <w:t>LOW</w:t>
            </w:r>
          </w:p>
        </w:tc>
        <w:tc>
          <w:tcPr>
            <w:tcW w:type="dxa" w:w="4320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Secret redaction + rate limiting + input validation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Memory / Scalability</w:t>
            </w:r>
          </w:p>
        </w:tc>
        <w:tc>
          <w:tcPr>
            <w:tcW w:type="dxa" w:w="158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65100"/>
                <w:sz w:val="20"/>
              </w:rPr>
              <w:t>HIGH</w:t>
            </w:r>
          </w:p>
        </w:tc>
        <w:tc>
          <w:tcPr>
            <w:tcW w:type="dxa" w:w="158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2E7D32"/>
                <w:sz w:val="20"/>
              </w:rPr>
              <w:t>LOW</w:t>
            </w:r>
          </w:p>
        </w:tc>
        <w:tc>
          <w:tcPr>
            <w:tcW w:type="dxa" w:w="432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Eviction policy + reduced store scans</w:t>
            </w:r>
          </w:p>
        </w:tc>
      </w:tr>
      <w:tr>
        <w:tc>
          <w:tcPr>
            <w:tcW w:type="dxa" w:w="2016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Code Maintainability</w:t>
            </w:r>
          </w:p>
        </w:tc>
        <w:tc>
          <w:tcPr>
            <w:tcW w:type="dxa" w:w="1584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9A825"/>
                <w:sz w:val="20"/>
              </w:rPr>
              <w:t>MEDIUM</w:t>
            </w:r>
          </w:p>
        </w:tc>
        <w:tc>
          <w:tcPr>
            <w:tcW w:type="dxa" w:w="1584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>
              <w:t>LOW</w:t>
            </w:r>
          </w:p>
        </w:tc>
        <w:tc>
          <w:tcPr>
            <w:tcW w:type="dxa" w:w="4320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>
              <w:t>Constants + logging improved; large functions decomposed; JSDoc added; metadata validated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Observability</w:t>
            </w:r>
          </w:p>
        </w:tc>
        <w:tc>
          <w:tcPr>
            <w:tcW w:type="dxa" w:w="158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9A825"/>
                <w:sz w:val="20"/>
              </w:rPr>
              <w:t>MEDIUM</w:t>
            </w:r>
          </w:p>
        </w:tc>
        <w:tc>
          <w:tcPr>
            <w:tcW w:type="dxa" w:w="158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2E7D32"/>
                <w:sz w:val="20"/>
              </w:rPr>
              <w:t>LOW</w:t>
            </w:r>
          </w:p>
        </w:tc>
        <w:tc>
          <w:tcPr>
            <w:tcW w:type="dxa" w:w="432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Structured log levels; OpenTelemetry still pending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B2A4A"/>
        </w:rPr>
        <w:t>Remaining Roadmap Items</w:t>
      </w:r>
    </w:p>
    <w:p>
      <w:pPr>
        <w:spacing w:after="240"/>
      </w:pPr>
      <w:r>
        <w:rPr>
          <w:rFonts w:ascii="Arial" w:hAnsi="Arial"/>
          <w:b w:val="0"/>
          <w:i w:val="0"/>
          <w:sz w:val="22"/>
        </w:rPr>
        <w:t>With Phase 1 (ship-blocking) and Phase 2 (security hardening) largely complete, the remaining work falls into Phase 3 and Phase 4 from the original roadmap.</w:t>
      </w:r>
    </w:p>
    <w:p>
      <w:pPr>
        <w:pStyle w:val="Heading2"/>
      </w:pPr>
      <w:r>
        <w:rPr>
          <w:rFonts w:ascii="Arial" w:hAnsi="Arial"/>
          <w:color w:val="1B2A4A"/>
        </w:rPr>
        <w:t>Near-Term (Weeks 1-3)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  <w:vAlign w:val="center"/>
            <w:shd w:fill="1B2A4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1296"/>
            <w:vAlign w:val="center"/>
            <w:shd w:fill="1B2A4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296"/>
            <w:vAlign w:val="center"/>
            <w:shd w:fill="1B2A4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Effort</w:t>
            </w:r>
          </w:p>
        </w:tc>
        <w:tc>
          <w:tcPr>
            <w:tcW w:type="dxa" w:w="3744"/>
            <w:vAlign w:val="center"/>
            <w:shd w:fill="1B2A4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3168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PostgreSQL StorageAdapter</w:t>
            </w:r>
          </w:p>
        </w:tc>
        <w:tc>
          <w:tcPr>
            <w:tcW w:type="dxa" w:w="1296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>
            <w:tcW w:type="dxa" w:w="1296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1 week</w:t>
            </w:r>
          </w:p>
        </w:tc>
        <w:tc>
          <w:tcPr>
            <w:tcW w:type="dxa" w:w="374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Production persistence for cloud deployment</w:t>
            </w:r>
          </w:p>
        </w:tc>
      </w:tr>
      <w:tr>
        <w:tc>
          <w:tcPr>
            <w:tcW w:type="dxa" w:w="3168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Event queue for webhook delivery</w:t>
            </w:r>
          </w:p>
        </w:tc>
        <w:tc>
          <w:tcPr>
            <w:tcW w:type="dxa" w:w="1296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MEDIUM</w:t>
            </w:r>
          </w:p>
        </w:tc>
        <w:tc>
          <w:tcPr>
            <w:tcW w:type="dxa" w:w="1296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3 days</w:t>
            </w:r>
          </w:p>
        </w:tc>
        <w:tc>
          <w:tcPr>
            <w:tcW w:type="dxa" w:w="3744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Decouple webhooks from critical path</w:t>
            </w:r>
          </w:p>
        </w:tc>
      </w:tr>
      <w:tr>
        <w:tc>
          <w:tcPr>
            <w:tcW w:type="dxa" w:w="3168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OpenTelemetry instrumentation</w:t>
            </w:r>
          </w:p>
        </w:tc>
        <w:tc>
          <w:tcPr>
            <w:tcW w:type="dxa" w:w="1296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MEDIUM</w:t>
            </w:r>
          </w:p>
        </w:tc>
        <w:tc>
          <w:tcPr>
            <w:tcW w:type="dxa" w:w="1296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1 week</w:t>
            </w:r>
          </w:p>
        </w:tc>
        <w:tc>
          <w:tcPr>
            <w:tcW w:type="dxa" w:w="374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Enterprise observability requirement</w:t>
            </w:r>
          </w:p>
        </w:tc>
      </w:tr>
      <w:tr>
        <w:tc>
          <w:tcPr>
            <w:tcW w:type="dxa" w:w="3168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API key scoping (read/write)</w:t>
            </w:r>
          </w:p>
        </w:tc>
        <w:tc>
          <w:tcPr>
            <w:tcW w:type="dxa" w:w="1296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MEDIUM</w:t>
            </w:r>
          </w:p>
        </w:tc>
        <w:tc>
          <w:tcPr>
            <w:tcW w:type="dxa" w:w="1296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2 days</w:t>
            </w:r>
          </w:p>
        </w:tc>
        <w:tc>
          <w:tcPr>
            <w:tcW w:type="dxa" w:w="3744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Least-privilege access control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B2A4A"/>
        </w:rPr>
        <w:t>Medium-Term (Weeks 4-8)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  <w:vAlign w:val="center"/>
            <w:shd w:fill="1B2A4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1296"/>
            <w:vAlign w:val="center"/>
            <w:shd w:fill="1B2A4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296"/>
            <w:vAlign w:val="center"/>
            <w:shd w:fill="1B2A4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Effort</w:t>
            </w:r>
          </w:p>
        </w:tc>
        <w:tc>
          <w:tcPr>
            <w:tcW w:type="dxa" w:w="3744"/>
            <w:vAlign w:val="center"/>
            <w:shd w:fill="1B2A4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3168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Full O(1) incremental trust scoring</w:t>
            </w:r>
          </w:p>
        </w:tc>
        <w:tc>
          <w:tcPr>
            <w:tcW w:type="dxa" w:w="1296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MEDIUM</w:t>
            </w:r>
          </w:p>
        </w:tc>
        <w:tc>
          <w:tcPr>
            <w:tcW w:type="dxa" w:w="1296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2 days</w:t>
            </w:r>
          </w:p>
        </w:tc>
        <w:tc>
          <w:tcPr>
            <w:tcW w:type="dxa" w:w="374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Performance at scale</w:t>
            </w:r>
          </w:p>
        </w:tc>
      </w:tr>
      <w:tr>
        <w:tc>
          <w:tcPr>
            <w:tcW w:type="dxa" w:w="3168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Per-project rate limit quotas</w:t>
            </w:r>
          </w:p>
        </w:tc>
        <w:tc>
          <w:tcPr>
            <w:tcW w:type="dxa" w:w="1296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MEDIUM</w:t>
            </w:r>
          </w:p>
        </w:tc>
        <w:tc>
          <w:tcPr>
            <w:tcW w:type="dxa" w:w="1296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3 days</w:t>
            </w:r>
          </w:p>
        </w:tc>
        <w:tc>
          <w:tcPr>
            <w:tcW w:type="dxa" w:w="3744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Monetization via usage tiers</w:t>
            </w:r>
          </w:p>
        </w:tc>
      </w:tr>
      <w:tr>
        <w:tc>
          <w:tcPr>
            <w:tcW w:type="dxa" w:w="3168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SDK v1.0 API surface freeze</w:t>
            </w:r>
          </w:p>
        </w:tc>
        <w:tc>
          <w:tcPr>
            <w:tcW w:type="dxa" w:w="1296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>
            <w:tcW w:type="dxa" w:w="1296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1 week</w:t>
            </w:r>
          </w:p>
        </w:tc>
        <w:tc>
          <w:tcPr>
            <w:tcW w:type="dxa" w:w="374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Developer trust and adoption</w:t>
            </w:r>
          </w:p>
        </w:tc>
      </w:tr>
      <w:tr>
        <w:tc>
          <w:tcPr>
            <w:tcW w:type="dxa" w:w="3168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>
              <w:t>Metadata schema validation (optional) ✓</w:t>
            </w:r>
          </w:p>
        </w:tc>
        <w:tc>
          <w:tcPr>
            <w:tcW w:type="dxa" w:w="1296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>
              <w:t>COMPLETED</w:t>
            </w:r>
          </w:p>
        </w:tc>
        <w:tc>
          <w:tcPr>
            <w:tcW w:type="dxa" w:w="1296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2 days</w:t>
            </w:r>
          </w:p>
        </w:tc>
        <w:tc>
          <w:tcPr>
            <w:tcW w:type="dxa" w:w="3744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>
              <w:t>Resolved: MetadataValidator interface with Zod-compatible parse()</w:t>
            </w:r>
          </w:p>
        </w:tc>
      </w:tr>
      <w:tr>
        <w:tc>
          <w:tcPr>
            <w:tcW w:type="dxa" w:w="3168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>
              <w:t>JSDoc on scoring algorithms ✓</w:t>
            </w:r>
          </w:p>
        </w:tc>
        <w:tc>
          <w:tcPr>
            <w:tcW w:type="dxa" w:w="1296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>
              <w:t>COMPLETED</w:t>
            </w:r>
          </w:p>
        </w:tc>
        <w:tc>
          <w:tcPr>
            <w:tcW w:type="dxa" w:w="1296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1 day</w:t>
            </w:r>
          </w:p>
        </w:tc>
        <w:tc>
          <w:tcPr>
            <w:tcW w:type="dxa" w:w="374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>
              <w:t>Resolved: Full JSDoc on all trust scoring methods</w:t>
            </w:r>
          </w:p>
        </w:tc>
      </w:tr>
      <w:tr>
        <w:tc>
          <w:tcPr>
            <w:tcW w:type="dxa" w:w="3168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>
              <w:t>Large function decomposition ✓</w:t>
            </w:r>
          </w:p>
        </w:tc>
        <w:tc>
          <w:tcPr>
            <w:tcW w:type="dxa" w:w="1296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>
              <w:t>COMPLETED</w:t>
            </w:r>
          </w:p>
        </w:tc>
        <w:tc>
          <w:tcPr>
            <w:tcW w:type="dxa" w:w="1296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20"/>
              </w:rPr>
              <w:t>2 days</w:t>
            </w:r>
          </w:p>
        </w:tc>
        <w:tc>
          <w:tcPr>
            <w:tcW w:type="dxa" w:w="3744"/>
            <w:vAlign w:val="center"/>
            <w:shd w:fill="F5F7F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>
              <w:t>Resolved: kontextMiddleware decomposed into 10+ helpers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B2A4A"/>
        </w:rPr>
        <w:t>Conclusion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 xml:space="preserve">The Kontext project has demonstrated strong engineering discipline in its remediation effort. Resolving </w:t>
      </w:r>
      <w:r>
        <w:rPr>
          <w:rFonts w:ascii="Arial" w:hAnsi="Arial"/>
          <w:b/>
          <w:i w:val="0"/>
          <w:sz w:val="22"/>
        </w:rPr>
        <w:t>all 3 critical and all 5 high severity findings</w:t>
      </w:r>
      <w:r>
        <w:rPr>
          <w:rFonts w:ascii="Arial" w:hAnsi="Arial"/>
          <w:b w:val="0"/>
          <w:i w:val="0"/>
          <w:sz w:val="22"/>
        </w:rPr>
        <w:t xml:space="preserve"> eliminates the most significant risks identified in the original evaluation. The 3 deferred items are low-risk, well-reasoned trade-offs rather than oversights.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Key outcomes of the remediation: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sz w:val="22"/>
        </w:rPr>
        <w:t>The SDK compiles cleanly and can be type-checked end-to-end.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sz w:val="22"/>
        </w:rPr>
        <w:t>The cryptographic digest chain is now robust against edge-case timestamp issues.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sz w:val="22"/>
        </w:rPr>
        <w:t>The OFAC sanctions list is extensible via a clean API rather than requiring code changes.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sz w:val="22"/>
        </w:rPr>
        <w:t>The data store is concurrency-safe and memory-bounded.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sz w:val="22"/>
        </w:rPr>
        <w:t>Configuration fails fast on invalid input rather than silently degrading.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sz w:val="22"/>
        </w:rPr>
        <w:t>The API server is protected against abuse via rate limiting.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sz w:val="22"/>
        </w:rPr>
        <w:t>Secrets are no longer exposed through API responses.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sz w:val="22"/>
        </w:rPr>
        <w:t>Logging is structured and configurable for production use.</w:t>
      </w:r>
    </w:p>
    <w:p>
      <w:pPr>
        <w:spacing w:after="120"/>
      </w:pPr>
      <w:r>
        <w:rPr>
          <w:rFonts w:ascii="Arial" w:hAnsi="Arial"/>
          <w:b/>
          <w:i w:val="0"/>
          <w:sz w:val="22"/>
        </w:rPr>
        <w:t xml:space="preserve">Overall assessment: </w:t>
      </w:r>
      <w:r>
        <w:rPr>
          <w:rFonts w:ascii="Arial" w:hAnsi="Arial"/>
          <w:b w:val="0"/>
          <w:i w:val="0"/>
          <w:sz w:val="22"/>
        </w:rPr>
        <w:t xml:space="preserve">Kontext is now </w:t>
      </w:r>
      <w:r>
        <w:rPr>
          <w:rFonts w:ascii="Arial" w:hAnsi="Arial"/>
          <w:b/>
          <w:i w:val="0"/>
          <w:sz w:val="22"/>
        </w:rPr>
        <w:t>production-ready for initial deployment</w:t>
      </w:r>
      <w:r>
        <w:rPr>
          <w:rFonts w:ascii="Arial" w:hAnsi="Arial"/>
          <w:b w:val="0"/>
          <w:i w:val="0"/>
          <w:sz w:val="22"/>
        </w:rPr>
        <w:t xml:space="preserve"> with a clear path for scaling improvements. The architecture is sound, the critical risks are mitigated, and the remaining work is evolutionary rather than foundational.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