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2.png" ContentType="image/png"/>
  <Override PartName="/word/media/rId58.png" ContentType="image/png"/>
  <Override PartName="/word/media/rId50.png" ContentType="image/png"/>
  <Override PartName="/word/media/rId67.png" ContentType="image/png"/>
  <Override PartName="/word/media/rId56.png" ContentType="image/png"/>
  <Override PartName="/word/media/rId52.png" ContentType="image/png"/>
  <Override PartName="/word/media/rId65.png" ContentType="image/png"/>
  <Override PartName="/word/media/rId66.png" ContentType="image/png"/>
  <Override PartName="/word/media/rId6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short</w:t>
      </w:r>
      <w:r>
        <w:t xml:space="preserve"> </w:t>
      </w:r>
      <w:r>
        <w:t xml:space="preserve">read</w:t>
      </w:r>
      <w:r>
        <w:t xml:space="preserve"> </w:t>
      </w:r>
      <w:r>
        <w:rPr>
          <w:i/>
        </w:rPr>
        <w:t xml:space="preserve">de</w:t>
      </w:r>
      <w:r>
        <w:rPr>
          <w:i/>
        </w:rPr>
        <w:t xml:space="preserve"> </w:t>
      </w:r>
      <w:r>
        <w:rPr>
          <w:i/>
        </w:rPr>
        <w:t xml:space="preserve">novo</w:t>
      </w:r>
      <w:r>
        <w:t xml:space="preserve"> </w:t>
      </w:r>
      <w:r>
        <w:t xml:space="preserve">transcriptome</w:t>
      </w:r>
      <w:r>
        <w:t xml:space="preserve"> </w:t>
      </w:r>
      <w:r>
        <w:t xml:space="preserve">pipeline</w:t>
      </w:r>
      <w:r>
        <w:t xml:space="preserve"> </w:t>
      </w:r>
      <w:r>
        <w:t xml:space="preserve">optimized</w:t>
      </w:r>
      <w:r>
        <w:t xml:space="preserve"> </w:t>
      </w:r>
      <w:r>
        <w:t xml:space="preserve">by</w:t>
      </w:r>
      <w:r>
        <w:t xml:space="preserve"> </w:t>
      </w:r>
      <w:r>
        <w:t xml:space="preserve">long</w:t>
      </w:r>
      <w:r>
        <w:t xml:space="preserve"> </w:t>
      </w:r>
      <w:r>
        <w:t xml:space="preserve">reads</w:t>
      </w:r>
      <w:r>
        <w:t xml:space="preserve"> </w:t>
      </w:r>
      <w:r>
        <w:t xml:space="preserve">reveals</w:t>
      </w:r>
      <w:r>
        <w:t xml:space="preserve"> </w:t>
      </w:r>
      <w:r>
        <w:t xml:space="preserve">novel</w:t>
      </w:r>
      <w:r>
        <w:t xml:space="preserve"> </w:t>
      </w:r>
      <w:r>
        <w:t xml:space="preserve">developmentally</w:t>
      </w:r>
      <w:r>
        <w:t xml:space="preserve"> </w:t>
      </w:r>
      <w:r>
        <w:t xml:space="preserve">regulated</w:t>
      </w:r>
      <w:r>
        <w:t xml:space="preserve"> </w:t>
      </w:r>
      <w:r>
        <w:t xml:space="preserve">gene</w:t>
      </w:r>
      <w:r>
        <w:t xml:space="preserve"> </w:t>
      </w:r>
      <w:r>
        <w:t xml:space="preserve">isoforms</w:t>
      </w:r>
      <w:r>
        <w:t xml:space="preserve"> </w:t>
      </w:r>
      <w:r>
        <w:t xml:space="preserve">and</w:t>
      </w:r>
      <w:r>
        <w:t xml:space="preserve"> </w:t>
      </w:r>
      <w:r>
        <w:t xml:space="preserve">disease</w:t>
      </w:r>
      <w:r>
        <w:t xml:space="preserve"> </w:t>
      </w:r>
      <w:r>
        <w:t xml:space="preserve">targets</w:t>
      </w:r>
      <w:r>
        <w:t xml:space="preserve"> </w:t>
      </w:r>
      <w:r>
        <w:t xml:space="preserve">in</w:t>
      </w:r>
      <w:r>
        <w:t xml:space="preserve"> </w:t>
      </w:r>
      <w:r>
        <w:t xml:space="preserve">hundreds</w:t>
      </w:r>
      <w:r>
        <w:t xml:space="preserve"> </w:t>
      </w:r>
      <w:r>
        <w:t xml:space="preserve">of</w:t>
      </w:r>
      <w:r>
        <w:t xml:space="preserve"> </w:t>
      </w:r>
      <w:r>
        <w:t xml:space="preserve">eye</w:t>
      </w:r>
      <w:r>
        <w:t xml:space="preserve"> </w:t>
      </w:r>
      <w:r>
        <w:t xml:space="preserve">samples</w:t>
      </w:r>
    </w:p>
    <w:p>
      <w:pPr>
        <w:pStyle w:val="Author"/>
      </w:pPr>
      <w:r>
        <w:t xml:space="preserve">Vinay Swamy</w:t>
      </w:r>
      <w:r>
        <w:rPr>
          <w:vertAlign w:val="superscript"/>
        </w:rPr>
        <w:t xml:space="preserve">1</w:t>
      </w:r>
      <w:r>
        <w:t xml:space="preserve">,</w:t>
      </w:r>
      <w:r>
        <w:t xml:space="preserve"> </w:t>
      </w:r>
      <w:r>
        <w:t xml:space="preserve">Temesgen Fufa</w:t>
      </w:r>
      <w:r>
        <w:rPr>
          <w:vertAlign w:val="superscript"/>
        </w:rPr>
        <w:t xml:space="preserve">2</w:t>
      </w:r>
      <w:r>
        <w:t xml:space="preserve">,</w:t>
      </w:r>
      <w:r>
        <w:t xml:space="preserve"> </w:t>
      </w:r>
      <w:r>
        <w:t xml:space="preserve">Robert Hufnagel</w:t>
      </w:r>
      <w:r>
        <w:rPr>
          <w:vertAlign w:val="superscript"/>
        </w:rPr>
        <w:t xml:space="preserve">2</w:t>
      </w:r>
      <w:r>
        <w:t xml:space="preserve">,</w:t>
      </w:r>
      <w:r>
        <w:t xml:space="preserve"> </w:t>
      </w:r>
      <w:r>
        <w:t xml:space="preserve">and</w:t>
      </w:r>
      <w:r>
        <w:t xml:space="preserve"> </w:t>
      </w:r>
      <w:r>
        <w:t xml:space="preserve">David McGaughey</w:t>
      </w:r>
      <w:r>
        <w:rPr>
          <w:vertAlign w:val="superscript"/>
        </w:rPr>
        <w:t xml:space="preserve">1</w:t>
      </w:r>
    </w:p>
    <w:p>
      <w:pPr>
        <w:pStyle w:val="FirstParagraph"/>
      </w:pPr>
      <w:r>
        <w:rPr>
          <w:vertAlign w:val="superscript"/>
        </w:rPr>
        <w:t xml:space="preserve">1</w:t>
      </w:r>
      <w:r>
        <w:t xml:space="preserve"> </w:t>
      </w:r>
      <w:r>
        <w:t xml:space="preserve">Bioinformatics Group, Ophthalmic Genetics &amp; Visual Function Branch, National Eye Institute, Institutes of Health</w:t>
      </w:r>
      <w:r>
        <w:br w:type="textWrapping"/>
      </w:r>
      <w:r>
        <w:rPr>
          <w:vertAlign w:val="superscript"/>
        </w:rPr>
        <w:t xml:space="preserve">2</w:t>
      </w:r>
      <w:r>
        <w:t xml:space="preserve"> </w:t>
      </w:r>
      <w:r>
        <w:t xml:space="preserve">Medical Genetics and Ophthalmic Genomics Unit, National Eye Institute, National Institutes of Health</w:t>
      </w:r>
    </w:p>
    <w:p>
      <w:pPr>
        <w:pStyle w:val="Heading2"/>
      </w:pPr>
      <w:bookmarkStart w:id="20" w:name="abstract"/>
      <w:r>
        <w:t xml:space="preserve">Abstract</w:t>
      </w:r>
      <w:bookmarkEnd w:id="20"/>
    </w:p>
    <w:p>
      <w:pPr>
        <w:pStyle w:val="FirstParagraph"/>
      </w:pPr>
      <w:r>
        <w:t xml:space="preserve">             </w:t>
      </w:r>
      <w:r>
        <w:rPr>
          <w:i/>
        </w:rPr>
        <w:t xml:space="preserve">De novo</w:t>
      </w:r>
      <w:r>
        <w:t xml:space="preserve"> </w:t>
      </w:r>
      <w:r>
        <w:t xml:space="preserve">transcriptome construction from short read RNA-seq is a common method for reconstructing previously annotated and novel mRNA transcripts within a given sample. However, this process lacks a way to be evaluated as it is difficult to obtain a ground-truth measure of transcript expression. With advances in third generation sequencing, full length transcripts of whole transcriptomes can be accurately sequenced to generate a ground-truth transcriptome, but is significantly more expensive than short read sequencing. We generate long read Pacbio and short read Illumina RNA sequencing data from an induced pluripotent stem cell derived retinal pigmented epithelium (iPSC-RPE) cell line. We use the long read data to identify simple but powerful metrics for assesing</w:t>
      </w:r>
      <w:r>
        <w:t xml:space="preserve"> </w:t>
      </w:r>
      <w:r>
        <w:rPr>
          <w:i/>
        </w:rPr>
        <w:t xml:space="preserve">de novo</w:t>
      </w:r>
      <w:r>
        <w:t xml:space="preserve"> </w:t>
      </w:r>
      <w:r>
        <w:t xml:space="preserve">transcriptome construction and optimize a short read based</w:t>
      </w:r>
      <w:r>
        <w:t xml:space="preserve"> </w:t>
      </w:r>
      <w:r>
        <w:rPr>
          <w:i/>
        </w:rPr>
        <w:t xml:space="preserve">de novo</w:t>
      </w:r>
      <w:r>
        <w:t xml:space="preserve"> </w:t>
      </w:r>
      <w:r>
        <w:t xml:space="preserve">transcriptome construction pipeline. We then apply this this pipeline to construct transcriptomes for 340 short read RNA-seq samples originating from healthy adult and fetal retina, cornea, and RPE to generate the first pan-eye transcriptome annotation. We identify hundreds of novel gene isoforms and examine their significance in the context of ocular biology and disease.</w:t>
      </w:r>
    </w:p>
    <w:p>
      <w:pPr>
        <w:pStyle w:val="Heading2"/>
      </w:pPr>
      <w:bookmarkStart w:id="21" w:name="introduction"/>
      <w:r>
        <w:t xml:space="preserve">Introduction</w:t>
      </w:r>
      <w:bookmarkEnd w:id="21"/>
    </w:p>
    <w:p>
      <w:pPr>
        <w:pStyle w:val="FirstParagraph"/>
      </w:pPr>
      <w:r>
        <w:t xml:space="preserve">             The transcriptome is defined as the set of unique RNA transcripts expressed in a biological system. A single gene can have multiple distinct transcripts, or isoforms, and there are multiple biological processes that drive the formation of these isoforms including alternative promoter usage, alternative splicing, and alternative polyadenylation. Gene isoforms can have distinct and critical functions in biological processes like development, cell differentiation, and cell migration</w:t>
      </w:r>
      <w:r>
        <w:t xml:space="preserve"> </w:t>
      </w:r>
      <w:r>
        <w:t xml:space="preserve">(1)</w:t>
      </w:r>
      <w:r>
        <w:t xml:space="preserve">,</w:t>
      </w:r>
      <w:r>
        <w:t xml:space="preserve"> </w:t>
      </w:r>
      <w:r>
        <w:t xml:space="preserve">(2)</w:t>
      </w:r>
      <w:r>
        <w:t xml:space="preserve">,</w:t>
      </w:r>
      <w:r>
        <w:t xml:space="preserve"> </w:t>
      </w:r>
      <w:r>
        <w:t xml:space="preserve">(3)</w:t>
      </w:r>
      <w:r>
        <w:t xml:space="preserve">. Alternative usage of isoforms has also been implicated in multiple diseases including cancer, cardiovascular disease, Alzheimer’s disease and diabetic retinopathy</w:t>
      </w:r>
      <w:r>
        <w:t xml:space="preserve"> </w:t>
      </w:r>
      <w:r>
        <w:t xml:space="preserve">(4)</w:t>
      </w:r>
      <w:r>
        <w:t xml:space="preserve">,</w:t>
      </w:r>
      <w:r>
        <w:t xml:space="preserve"> </w:t>
      </w:r>
      <w:r>
        <w:t xml:space="preserve">(5)</w:t>
      </w:r>
      <w:r>
        <w:t xml:space="preserve">,</w:t>
      </w:r>
      <w:r>
        <w:t xml:space="preserve"> </w:t>
      </w:r>
      <w:r>
        <w:t xml:space="preserve">(6)</w:t>
      </w:r>
      <w:r>
        <w:t xml:space="preserve">,</w:t>
      </w:r>
      <w:r>
        <w:t xml:space="preserve"> </w:t>
      </w:r>
      <w:r>
        <w:t xml:space="preserve">(7)</w:t>
      </w:r>
      <w:r>
        <w:t xml:space="preserve">.</w:t>
      </w:r>
    </w:p>
    <w:p>
      <w:pPr>
        <w:pStyle w:val="BodyText"/>
      </w:pPr>
      <w:r>
        <w:t xml:space="preserve">             Accurate annotation of gene isoforms is fundamental for understanding their biological impact. For example, the Gencode human comprehensive transcript annotation (release 28) contains 82335 protein coding and 121500 noncoding transcripts across 19901 genes and 38480 pseudogenes, but this annotation is incomplete</w:t>
      </w:r>
      <w:r>
        <w:t xml:space="preserve"> </w:t>
      </w:r>
      <w:r>
        <w:t xml:space="preserve">(8)</w:t>
      </w:r>
      <w:r>
        <w:t xml:space="preserve">,</w:t>
      </w:r>
      <w:r>
        <w:t xml:space="preserve"> </w:t>
      </w:r>
      <w:r>
        <w:t xml:space="preserve">(9)</w:t>
      </w:r>
      <w:r>
        <w:t xml:space="preserve">. Therefore, identifying novel gene isoforms is a key step in the study of gene isoforms. Some of the first high throughput methods to find novel gene isoforms used short read (~100bp) RNA-seq to identify novel exon-exon junctions and novel exon boundaries based soley on RNA-seq coverage</w:t>
      </w:r>
      <w:r>
        <w:t xml:space="preserve"> </w:t>
      </w:r>
      <w:r>
        <w:t xml:space="preserve">(10)</w:t>
      </w:r>
      <w:r>
        <w:t xml:space="preserve">. More recently, several groups have developed specialized tools to use RNA-seq to reconstruct the whole transcriptome of a biological sample, dubbed</w:t>
      </w:r>
      <w:r>
        <w:t xml:space="preserve"> </w:t>
      </w:r>
      <w:r>
        <w:rPr>
          <w:i/>
        </w:rPr>
        <w:t xml:space="preserve">de novo</w:t>
      </w:r>
      <w:r>
        <w:t xml:space="preserve"> </w:t>
      </w:r>
      <w:r>
        <w:t xml:space="preserve">transcriptome construction</w:t>
      </w:r>
      <w:r>
        <w:t xml:space="preserve"> </w:t>
      </w:r>
      <w:r>
        <w:t xml:space="preserve">(11)</w:t>
      </w:r>
      <w:r>
        <w:t xml:space="preserve">,</w:t>
      </w:r>
      <w:r>
        <w:t xml:space="preserve">(2)</w:t>
      </w:r>
      <w:r>
        <w:t xml:space="preserve">,</w:t>
      </w:r>
      <w:r>
        <w:t xml:space="preserve"> </w:t>
      </w:r>
      <w:r>
        <w:t xml:space="preserve">(12)</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is CHESS, which uses the GTEx data set to construct</w:t>
      </w:r>
      <w:r>
        <w:t xml:space="preserve"> </w:t>
      </w:r>
      <w:r>
        <w:rPr>
          <w:i/>
        </w:rPr>
        <w:t xml:space="preserve">de novo</w:t>
      </w:r>
      <w:r>
        <w:t xml:space="preserve"> </w:t>
      </w:r>
      <w:r>
        <w:t xml:space="preserve">transcriptomes in over 9000 RNA-seq samples from 44 distinct body locations to create a comprehensive annotation of mRNA transcripts across the human body</w:t>
      </w:r>
      <w:r>
        <w:t xml:space="preserve"> </w:t>
      </w:r>
      <w:r>
        <w:t xml:space="preserve">(13)</w:t>
      </w:r>
      <w:r>
        <w:t xml:space="preserve">,</w:t>
      </w:r>
      <w:r>
        <w:t xml:space="preserve"> </w:t>
      </w:r>
      <w:r>
        <w:t xml:space="preserve">(14)</w:t>
      </w:r>
      <w:r>
        <w:t xml:space="preserve">. However, since the GTEx dataset does not include samples from any ocular tissues, the CHESS database remains an incomplete annotation of the human transcriptome.</w:t>
      </w:r>
    </w:p>
    <w:p>
      <w:pPr>
        <w:pStyle w:val="BodyText"/>
      </w:pPr>
      <w:r>
        <w:t xml:space="preserve">             Despite the increasing number of tools developed, there is no gold standard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more comprehensive range of gene isoforms. While previous iterations of long-read sequencing technologies typically had higher error rates, the new PacBio Sequel II system sequences long-reads as accurately as short-read based sequencing</w:t>
      </w:r>
      <w:r>
        <w:t xml:space="preserve"> </w:t>
      </w:r>
      <w:r>
        <w:t xml:space="preserve">(15)</w:t>
      </w:r>
      <w:r>
        <w:t xml:space="preserve">.</w:t>
      </w:r>
    </w:p>
    <w:p>
      <w:pPr>
        <w:pStyle w:val="BodyText"/>
      </w:pPr>
      <w:r>
        <w:t xml:space="preserve">             We propose that long-read based transcriptomes can serve as a ground truth for evaluating short-read based transcriptomes. In this study, we used PacBio long-read RNA sequencing to inform the construction of short-read transcriptomes. We generated PacBio long-read RNA-seq along with matched Illumina short-read RNA-seq data from an induced pluripotent stem cell (iPSC)-differentiated retinal pigmented epithelium (RPE) cell line. We then designed a rigorous StringTie-based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Finally, we applied this optimized pipeline to a data set containing 340 ocular tissue samples compiled from mining previously published, publicly available short-read RNA-seq data</w:t>
      </w:r>
      <w:r>
        <w:t xml:space="preserve"> </w:t>
      </w:r>
      <w:r>
        <w:t xml:space="preserve">(16)</w:t>
      </w:r>
      <w:r>
        <w:t xml:space="preserve">. We built transcriptomes for three major ocular tissues: cornea, retina, and RPE, using RNA-seq data from both adult and fetal tissues to create a high-quality pan-eye transcriptome. In addition to ocular samples, we used a subset of the GTEx data set to construct transcriptomes for tissues in 44 other locations across the body.</w:t>
      </w:r>
    </w:p>
    <w:p>
      <w:pPr>
        <w:pStyle w:val="BodyText"/>
      </w:pPr>
      <w:r>
        <w:t xml:space="preserve">             We used our gold-standard informed pan-eye</w:t>
      </w:r>
      <w:r>
        <w:t xml:space="preserve"> </w:t>
      </w:r>
      <w:r>
        <w:rPr>
          <w:i/>
        </w:rPr>
        <w:t xml:space="preserve">de novo</w:t>
      </w:r>
      <w:r>
        <w:t xml:space="preserve"> </w:t>
      </w:r>
      <w:r>
        <w:t xml:space="preserve">transcriptome to reveal hundreds of novel gene isoforms in the eye and analyze their potential impact on ocular biology and disease. We provide transcript annotation derived from our</w:t>
      </w:r>
      <w:r>
        <w:t xml:space="preserve"> </w:t>
      </w:r>
      <w:r>
        <w:rPr>
          <w:i/>
        </w:rPr>
        <w:t xml:space="preserve">de novo</w:t>
      </w:r>
      <w:r>
        <w:t xml:space="preserve"> </w:t>
      </w:r>
      <w:r>
        <w:t xml:space="preserve">transcriptomes as a resource to other researchers through an R package.</w:t>
      </w:r>
    </w:p>
    <w:p>
      <w:pPr>
        <w:pStyle w:val="Heading2"/>
      </w:pPr>
      <w:bookmarkStart w:id="22" w:name="methods"/>
      <w:r>
        <w:t xml:space="preserve">Methods</w:t>
      </w:r>
      <w:bookmarkEnd w:id="22"/>
    </w:p>
    <w:p>
      <w:pPr>
        <w:pStyle w:val="FirstParagraph"/>
      </w:pPr>
      <w:r>
        <w:drawing>
          <wp:inline>
            <wp:extent cx="5943600" cy="9196200"/>
            <wp:effectExtent b="0" l="0" r="0" t="0"/>
            <wp:docPr descr="" title="" id="1" name="Picture"/>
            <a:graphic>
              <a:graphicData uri="http://schemas.openxmlformats.org/drawingml/2006/picture">
                <pic:pic>
                  <pic:nvPicPr>
                    <pic:cNvPr descr="../clean_data/plots/DNTX_flowchar_rework_final.png" id="0" name="Picture"/>
                    <pic:cNvPicPr>
                      <a:picLocks noChangeArrowheads="1" noChangeAspect="1"/>
                    </pic:cNvPicPr>
                  </pic:nvPicPr>
                  <pic:blipFill>
                    <a:blip r:embed="rId23"/>
                    <a:stretch>
                      <a:fillRect/>
                    </a:stretch>
                  </pic:blipFill>
                  <pic:spPr bwMode="auto">
                    <a:xfrm>
                      <a:off x="0" y="0"/>
                      <a:ext cx="5943600" cy="9196200"/>
                    </a:xfrm>
                    <a:prstGeom prst="rect">
                      <a:avLst/>
                    </a:prstGeom>
                    <a:noFill/>
                    <a:ln w="9525">
                      <a:noFill/>
                      <a:headEnd/>
                      <a:tailEnd/>
                    </a:ln>
                  </pic:spPr>
                </pic:pic>
              </a:graphicData>
            </a:graphic>
          </wp:inline>
        </w:drawing>
      </w:r>
    </w:p>
    <w:p>
      <w:pPr>
        <w:pStyle w:val="CustomCaption"/>
      </w:pPr>
      <w:r>
        <w:t xml:space="preserve">Figure 1. Workflow for long read informed</w:t>
      </w:r>
      <w:r>
        <w:t xml:space="preserve"> </w:t>
      </w:r>
      <w:r>
        <w:rPr>
          <w:i/>
        </w:rPr>
        <w:t xml:space="preserve">de novo</w:t>
      </w:r>
      <w:r>
        <w:t xml:space="preserve"> </w:t>
      </w:r>
      <w:r>
        <w:t xml:space="preserve">transcriptome construction and analysis.</w:t>
      </w:r>
    </w:p>
    <w:p>
      <w:pPr>
        <w:pStyle w:val="Heading2"/>
      </w:pPr>
      <w:bookmarkStart w:id="24" w:name="generation-of-pacbio-long-read-rna-sequencing-data-and-illumina-short-read-rna-sequencing-data"/>
      <w:r>
        <w:t xml:space="preserve">Generation of PacBio long-read RNA sequencing data and Illumina short-read RNA sequencing data</w:t>
      </w:r>
      <w:bookmarkEnd w:id="24"/>
    </w:p>
    <w:p>
      <w:pPr>
        <w:pStyle w:val="FirstParagraph"/>
      </w:pPr>
      <w:r>
        <w:t xml:space="preserve">             Human iPSCs were differentiated into RPE using previously described protocols in</w:t>
      </w:r>
      <w:r>
        <w:t xml:space="preserve"> </w:t>
      </w:r>
      <w:r>
        <w:t xml:space="preserve">(17)</w:t>
      </w:r>
      <w:r>
        <w:t xml:space="preserve"> </w:t>
      </w:r>
      <w:r>
        <w:t xml:space="preserve">and</w:t>
      </w:r>
      <w:r>
        <w:t xml:space="preserve"> </w:t>
      </w:r>
      <w:r>
        <w:t xml:space="preserve">(18)</w:t>
      </w:r>
      <w:r>
        <w:t xml:space="preserve">. iPSC-derived RPE (iPSC-RPE) cells at 42 days post differentiation were lysed with TRIzol reagent (Thermo Fisher Scientific; cat # 15596026) and total RNA was isolated using the Direct-zol RNA MiniPrep Kit (Zymo Research, Irvine, CA). 5-6ug total RNA that passed quality control metric (RIN &gt;.9) were used for PacBio library preparation. For PacBio HiFi circular consensus sequencing(CCS), libraries were prepared following the</w:t>
      </w:r>
      <w:r>
        <w:t xml:space="preserve"> </w:t>
      </w:r>
      <w:r>
        <w:t xml:space="preserve">“</w:t>
      </w:r>
      <w:r>
        <w:t xml:space="preserve">Procedure-Checklist-Iso-Seq-Express-Template-Preparation-for-Sequel-and-Sequel-II-Systems</w:t>
      </w:r>
      <w:r>
        <w:t xml:space="preserve">”</w:t>
      </w:r>
      <w:r>
        <w:t xml:space="preserve"> </w:t>
      </w:r>
      <w:r>
        <w:t xml:space="preserve">protocol. Two libraries were generated: one to capture transcripts 2 kilobases(kb) or smaller, and one to capture transcripts between 2-5kb. Sequencing was done on the PacBio Sequel II system for a movie time of 24 hours.</w:t>
      </w:r>
    </w:p>
    <w:p>
      <w:pPr>
        <w:pStyle w:val="BodyText"/>
      </w:pPr>
      <w:r>
        <w:t xml:space="preserve">             For Illumina sequencing, Poly-A selected stranded mRNA libraries were constructed from 0.5-1 µg total RNA using the Illumina TruSeq Stranded mRNA Sample Prep Kits according to manufacturer’s instructions. Amplification was performed using 10-12 cycles to minimize the risk of over-amplification. Unique dual-indexed barcode adapters were applied to each library. Libraries were pooled in equimolar ratio and sequenced together on a HiSeq 4000. At least 57 million 75-base read pairs were generated for each individual library. Data was processed using RTA 2.7.7. All sequencing was library preparation and sequencing was performed at National Institutes of Health Intramural Sequencing Center (NISC).</w:t>
      </w:r>
    </w:p>
    <w:p>
      <w:pPr>
        <w:pStyle w:val="Heading2"/>
      </w:pPr>
      <w:bookmarkStart w:id="25" w:name="code-availability-and-software-versions."/>
      <w:r>
        <w:t xml:space="preserve">Code availability and software versions.</w:t>
      </w:r>
      <w:bookmarkEnd w:id="25"/>
    </w:p>
    <w:p>
      <w:pPr>
        <w:pStyle w:val="FirstParagraph"/>
      </w:pPr>
      <w:r>
        <w:t xml:space="preserve">             To improve reproducibility, all code used for both the anaylzing the data and generating the figures for this paper was written as multiple Snakemake pipelines. Each Snakefile contains the exact parameters for all tools and scripts used in each analysis.</w:t>
      </w:r>
      <w:r>
        <w:t xml:space="preserve"> </w:t>
      </w:r>
      <w:r>
        <w:t xml:space="preserve">(19)</w:t>
      </w:r>
      <w:r>
        <w:t xml:space="preserve"> </w:t>
      </w:r>
      <w:r>
        <w:t xml:space="preserve">All code (and versions) used for this project is publicly available in the following github repositories:</w:t>
      </w:r>
      <w:r>
        <w:t xml:space="preserve"> </w:t>
      </w:r>
      <w:hyperlink r:id="rId26">
        <w:r>
          <w:rPr>
            <w:rStyle w:val="Hyperlink"/>
          </w:rPr>
          <w:t xml:space="preserve">https://github.com/vinay-swamy/ocular_transcriptomes_pipeline</w:t>
        </w:r>
      </w:hyperlink>
      <w:r>
        <w:t xml:space="preserve"> </w:t>
      </w:r>
      <w:r>
        <w:t xml:space="preserve">(main pipeline),</w:t>
      </w:r>
      <w:r>
        <w:t xml:space="preserve"> </w:t>
      </w:r>
      <w:hyperlink r:id="rId27">
        <w:r>
          <w:rPr>
            <w:rStyle w:val="Hyperlink"/>
          </w:rPr>
          <w:t xml:space="preserve">https://github.com/vinay-swamy/ocular_transcriptomes_longread_analysis</w:t>
        </w:r>
      </w:hyperlink>
      <w:r>
        <w:t xml:space="preserve"> </w:t>
      </w:r>
      <w:r>
        <w:t xml:space="preserve">(long-read analysis pipeline),</w:t>
      </w:r>
      <w:r>
        <w:t xml:space="preserve"> </w:t>
      </w:r>
      <w:hyperlink r:id="rId28">
        <w:r>
          <w:rPr>
            <w:rStyle w:val="Hyperlink"/>
          </w:rPr>
          <w:t xml:space="preserve">https://github.com/vinay-swamy/ocular_transcriptomes_paper</w:t>
        </w:r>
      </w:hyperlink>
      <w:r>
        <w:t xml:space="preserve"> </w:t>
      </w:r>
      <w:r>
        <w:t xml:space="preserve">(figures and tables for this paper),</w:t>
      </w:r>
      <w:r>
        <w:t xml:space="preserve"> </w:t>
      </w:r>
      <w:hyperlink r:id="rId29">
        <w:r>
          <w:rPr>
            <w:rStyle w:val="Hyperlink"/>
          </w:rPr>
          <w:t xml:space="preserve">https://github.com/vinay-swamy/ocular_transcriptomes_shiny</w:t>
        </w:r>
      </w:hyperlink>
      <w:r>
        <w:t xml:space="preserve"> </w:t>
      </w:r>
      <w:r>
        <w:t xml:space="preserve">(webapp). Additionally, all Snakefiles are included as supplementary data.(supplementary data files 1-4)</w:t>
      </w:r>
    </w:p>
    <w:p>
      <w:pPr>
        <w:pStyle w:val="Heading2"/>
      </w:pPr>
      <w:bookmarkStart w:id="30" w:name="analysis-of-long-read-data"/>
      <w:r>
        <w:t xml:space="preserve">Analysis of long-read data</w:t>
      </w:r>
      <w:bookmarkEnd w:id="30"/>
    </w:p>
    <w:p>
      <w:pPr>
        <w:pStyle w:val="FirstParagraph"/>
      </w:pPr>
      <w:r>
        <w:t xml:space="preserve">             PacBio sequencing movies were processed into full length, non-chimeric (FLNC) reads using the IsoSeq3 3.1.2 pipeline in the Pacbio SMRT link v7.0 software. The existing ENCODE long-read RNA-seq pipeline (</w:t>
      </w:r>
      <w:hyperlink r:id="rId31">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transcript annotation as the input. A list of common variants to avoid correcting were obtained from the ENCODE portal (</w:t>
      </w:r>
      <w:hyperlink r:id="rId32">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33" w:name="analysis-of-short-read-rpe-data"/>
      <w:r>
        <w:t xml:space="preserve">Analysis of short-read RPE data</w:t>
      </w:r>
      <w:bookmarkEnd w:id="33"/>
    </w:p>
    <w:p>
      <w:pPr>
        <w:pStyle w:val="FirstParagraph"/>
      </w:pPr>
      <w:r>
        <w:t xml:space="preserve">             Each sample was aligned to the Gencode release 28 hg38 human genome assembly using the genomic aligner STAR and the resulting BAM files were sorted using samtools sort.</w:t>
      </w:r>
      <w:r>
        <w:t xml:space="preserve"> </w:t>
      </w:r>
      <w:r>
        <w:t xml:space="preserve">(8)</w:t>
      </w:r>
      <w:r>
        <w:t xml:space="preserve">,</w:t>
      </w:r>
      <w:r>
        <w:t xml:space="preserve">(20)</w:t>
      </w:r>
      <w:r>
        <w:t xml:space="preserve">,</w:t>
      </w:r>
      <w:r>
        <w:t xml:space="preserve">(21)</w:t>
      </w:r>
      <w:r>
        <w:t xml:space="preserve">. For each sorted BAM file, a per-sample base transcriptome was constructed using StringTie with the Gencode V28 comprehensive annotation as a guiding annotation</w:t>
      </w:r>
      <w:r>
        <w:t xml:space="preserve"> </w:t>
      </w:r>
      <w:r>
        <w:t xml:space="preserve">(8)</w:t>
      </w:r>
      <w:r>
        <w:t xml:space="preserve">,</w:t>
      </w:r>
      <w:r>
        <w:t xml:space="preserve">(12)</w:t>
      </w:r>
      <w:r>
        <w:t xml:space="preserve">. All sample transcriptomes were merged with the long-read transcriptome using gffcompare</w:t>
      </w:r>
      <w:r>
        <w:t xml:space="preserve">(22)</w:t>
      </w:r>
      <w:r>
        <w:t xml:space="preserve"> </w:t>
      </w:r>
      <w:r>
        <w:t xml:space="preserve">with default parameters. We note that the default values for the distance to merge similar 5’ starts and 3 ends of transcripts in gffcompare is the same to what we chose for TALON. We defined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34" w:name="construction-of-subtissue-specific-transcriptomes."/>
      <w:r>
        <w:t xml:space="preserve">Construction of subtissue-specific transcriptomes.</w:t>
      </w:r>
      <w:bookmarkEnd w:id="34"/>
    </w:p>
    <w:p>
      <w:pPr>
        <w:pStyle w:val="FirstParagraph"/>
      </w:pPr>
      <w:r>
        <w:t xml:space="preserve">             We used studies with healthy, unperturbed RNA-seq samples from 50 distinct locations of the body. We downloaded and performed quality control of the pertinent sequencing data from the sequence read archive (SRA) using methods from our previous work</w:t>
      </w:r>
      <w:r>
        <w:t xml:space="preserve"> </w:t>
      </w:r>
      <w:r>
        <w:t xml:space="preserve">(16)</w:t>
      </w:r>
      <w:r>
        <w:t xml:space="preserve">. We constructed a transcriptome for each sample, and merged samples together to create 50 subtissue-specific transcriptomes. We define subtissue as a unique body location and are either temporally different versions of the same tissue(adult vs fetal tissue), or different regions of a larger tissue (cortex vs cerebellum in brain). Tissue refers to complete whole tissues (retina, brain, liver). For each subtissue-specific transcriptome, we removed transcripts that had an average expression less than 1 Transcripts Per Million (TPM) across all samples of the same subtissue type. All subtissue-specific transcriptomes were merged to form a single unified annotation file in general transfer format(GTF) to ensure transcript identifiers were the same across subtissues. We merged all ocular subtissue transcriptomes to generate a separate pan-eye transcriptome.</w:t>
      </w:r>
    </w:p>
    <w:p>
      <w:pPr>
        <w:pStyle w:val="Heading2"/>
      </w:pPr>
      <w:bookmarkStart w:id="35" w:name="subtissue-specific-transcriptome-quantification"/>
      <w:r>
        <w:t xml:space="preserve">Subtissue specific transcriptome quantification</w:t>
      </w:r>
      <w:bookmarkEnd w:id="35"/>
    </w:p>
    <w:p>
      <w:pPr>
        <w:pStyle w:val="FirstParagraph"/>
      </w:pPr>
      <w:r>
        <w:t xml:space="preserve">             For each resulting subtissue specific transcriptome, we extracted transcript sequences using the tool gffread and used these sequences to build a subtissue-specific quantification index using the index mode of the alignment-free quantification tool Salmon</w:t>
      </w:r>
      <w:r>
        <w:t xml:space="preserve"> </w:t>
      </w:r>
      <w:r>
        <w:t xml:space="preserve">(22)</w:t>
      </w:r>
      <w:r>
        <w:t xml:space="preserve">,</w:t>
      </w:r>
      <w:r>
        <w:t xml:space="preserve"> </w:t>
      </w:r>
      <w:r>
        <w:t xml:space="preserve">(23)</w:t>
      </w:r>
      <w:r>
        <w:t xml:space="preserve">. For each sample, we quantified transcript expression using the quant mode of Salmon, using a sample’s respective subtissue specific quantification index. We similarly quantified all ocular samples using the pan-eye transcriptome and the Gencode v28 reference transcriptome.</w:t>
      </w:r>
    </w:p>
    <w:p>
      <w:pPr>
        <w:pStyle w:val="Heading2"/>
      </w:pPr>
      <w:bookmarkStart w:id="36" w:name="annotation-of-novel-exons"/>
      <w:r>
        <w:t xml:space="preserve">Annotation of novel exons</w:t>
      </w:r>
      <w:bookmarkEnd w:id="36"/>
    </w:p>
    <w:p>
      <w:pPr>
        <w:pStyle w:val="FirstParagraph"/>
      </w:pPr>
      <w:r>
        <w:t xml:space="preserve">             Analysis of novel transcripts was done using a custom Rscript</w:t>
      </w:r>
      <w:r>
        <w:t xml:space="preserve"> </w:t>
      </w:r>
      <w:r>
        <w:t xml:space="preserve">“</w:t>
      </w:r>
      <w:r>
        <w:t xml:space="preserve">annotate_and_make_tissue_gtfs.R</w:t>
      </w:r>
      <w:r>
        <w:t xml:space="preserve">”</w:t>
      </w:r>
      <w:r>
        <w:t xml:space="preserve"> </w:t>
      </w: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have an annotated start but an unannotated end were categorized as a novel alternative 3’ end exons and similarly novel middle exons with an unannotated start but annotated end were categorized as a novel alternative 5’ start exons. Novel middle exons whose start and end match annotated exon start and ends were considered retained introns. Novel middle exons whose start and end do not match annotated starts and ends were considered fully novel exons. We then classified novel first and last exons. Novel first exons were first exons whose start is not in the set of annotated exon starts, and novel last exons were terminal exons whose end is not in the set of annotated exon ends.</w:t>
      </w:r>
    </w:p>
    <w:p>
      <w:pPr>
        <w:pStyle w:val="Heading2"/>
      </w:pPr>
      <w:bookmarkStart w:id="37" w:name="validation-of-dntx-with-phylop-cage-data-and-polya-signals"/>
      <w:r>
        <w:t xml:space="preserve">Validation of DNTX with phylop, CAGE data, and polyA signals</w:t>
      </w:r>
      <w:bookmarkEnd w:id="37"/>
    </w:p>
    <w:p>
      <w:pPr>
        <w:pStyle w:val="FirstParagraph"/>
      </w:pPr>
      <w:r>
        <w:t xml:space="preserve">             PhyloP scores for the phylop 20-way multi species alignment were downloaded from UCSC’s FTP server on October 16th, 2019 and converted from bigWig format to bed format using the wig2bed tool in BEDOPs</w:t>
      </w:r>
      <w:r>
        <w:t xml:space="preserve"> </w:t>
      </w:r>
      <w:r>
        <w:t xml:space="preserve">(24)</w:t>
      </w:r>
      <w:r>
        <w:t xml:space="preserve">,</w:t>
      </w:r>
      <w:r>
        <w:t xml:space="preserve"> </w:t>
      </w:r>
      <w:r>
        <w:t xml:space="preserve">(25)</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 were download from the FANTOM FTP server (</w:t>
      </w:r>
      <w:hyperlink r:id="rId38">
        <w:r>
          <w:rPr>
            <w:rStyle w:val="Hyperlink"/>
          </w:rPr>
          <w:t xml:space="preserve">https://fantom.gsc.riken.jp/5/datafiles/reprocessed/hg38_latest/extra/CAGE_peaks/hg38_fair+new_CAGE_peaks_phase1and2.bed.gz</w:t>
        </w:r>
      </w:hyperlink>
      <w:r>
        <w:t xml:space="preserve">) on June 15th 2020</w:t>
      </w:r>
      <w:r>
        <w:t xml:space="preserve"> </w:t>
      </w:r>
      <w:r>
        <w:t xml:space="preserve">(26)</w:t>
      </w:r>
      <w:r>
        <w:t xml:space="preserve">.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 (</w:t>
      </w:r>
      <w:hyperlink r:id="rId39">
        <w:r>
          <w:rPr>
            <w:rStyle w:val="Hyperlink"/>
          </w:rPr>
          <w:t xml:space="preserve">https://polyasite.unibas.ch/download/atlas/2.0/GRCh38.96/atlas.clusters.2.0.GRCh38.96.bed.gz</w:t>
        </w:r>
      </w:hyperlink>
      <w:r>
        <w:t xml:space="preserve">) on June 15th 2020</w:t>
      </w:r>
      <w:r>
        <w:t xml:space="preserve"> </w:t>
      </w:r>
      <w:r>
        <w:t xml:space="preserve">(27)</w:t>
      </w:r>
      <w:r>
        <w:t xml:space="preserve">. Transcriptional end sites(TES) were extracted from gencode and DNTX annotations; TES is defined as the end of the terminal exon of a transcript. Distance to polyA signal was calculated using the closest tool in the bedtools suite</w:t>
      </w:r>
      <w:r>
        <w:t xml:space="preserve"> </w:t>
      </w:r>
      <w:r>
        <w:t xml:space="preserve">(28)</w:t>
      </w:r>
      <w:r>
        <w:t xml:space="preserve">. Significant difference in mean distance to polyA signal was tested with a Mann Whitney U test.</w:t>
      </w:r>
    </w:p>
    <w:p>
      <w:pPr>
        <w:pStyle w:val="Heading2"/>
      </w:pPr>
      <w:bookmarkStart w:id="40" w:name="identification-of-novel-protein-coding-transcripts"/>
      <w:r>
        <w:t xml:space="preserve">Identification of novel protein coding transcripts</w:t>
      </w:r>
      <w:bookmarkEnd w:id="40"/>
    </w:p>
    <w:p>
      <w:pPr>
        <w:pStyle w:val="FirstParagraph"/>
      </w:pPr>
      <w:r>
        <w:t xml:space="preserve">             Protein-coding transcripts in the unified transcriptome were identified using the TransDecoder suite</w:t>
      </w:r>
      <w:r>
        <w:t xml:space="preserve"> </w:t>
      </w:r>
      <w:r>
        <w:t xml:space="preserve">(11)</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41">
        <w:r>
          <w:rPr>
            <w:rStyle w:val="Hyperlink"/>
          </w:rPr>
          <w:t xml:space="preserve">https://github.com/NBISweden/AGAT/</w:t>
        </w:r>
      </w:hyperlink>
      <w:r>
        <w:t xml:space="preserve">). Transcripts with no detectable ORF or missing a start or stop codon were labelled as noncoding.</w:t>
      </w:r>
    </w:p>
    <w:p>
      <w:pPr>
        <w:pStyle w:val="Heading2"/>
      </w:pPr>
      <w:bookmarkStart w:id="42" w:name="analysis-of-novel-isoforms-in-eye-tissues"/>
      <w:r>
        <w:t xml:space="preserve">Analysis of novel isoforms in eye tissues</w:t>
      </w:r>
      <w:bookmarkEnd w:id="42"/>
    </w:p>
    <w:p>
      <w:pPr>
        <w:pStyle w:val="FirstParagraph"/>
      </w:pPr>
      <w:r>
        <w:t xml:space="preserve">             An Upset plot was generated using the ComplexUpset package (</w:t>
      </w:r>
      <w:hyperlink r:id="rId43">
        <w:r>
          <w:rPr>
            <w:rStyle w:val="Hyperlink"/>
          </w:rPr>
          <w:t xml:space="preserve">https://github.com/krassowski/complex-upset</w:t>
        </w:r>
      </w:hyperlink>
      <w:r>
        <w:t xml:space="preserve">)</w:t>
      </w:r>
      <w:r>
        <w:t xml:space="preserve"> </w:t>
      </w:r>
      <w:r>
        <w:t xml:space="preserve">(29)</w:t>
      </w:r>
      <w:r>
        <w:t xml:space="preserve">. Fraction Isoform Usage(FIU) was calculated for each transcript</w:t>
      </w:r>
      <w:r>
        <w:t xml:space="preserve"> </w:t>
      </w:r>
      <w:r>
        <w:rPr>
          <w:i/>
        </w:rPr>
        <w:t xml:space="preserve">t</w:t>
      </w:r>
      <w:r>
        <w:t xml:space="preserve"> </w:t>
      </w:r>
      <w:r>
        <w:t xml:space="preserve">associated with a parent gene</w:t>
      </w:r>
      <w:r>
        <w:t xml:space="preserve"> </w:t>
      </w:r>
      <w:r>
        <w:rPr>
          <w:i/>
        </w:rPr>
        <w:t xml:space="preserve">g</w:t>
      </w:r>
      <w:r>
        <w:t xml:space="preserve"> </w:t>
      </w:r>
      <w:r>
        <w:t xml:space="preserve">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r>
        <w:t xml:space="preserve">(30)</w:t>
      </w:r>
      <w:r>
        <w:t xml:space="preserve">.</w:t>
      </w:r>
    </w:p>
    <w:p>
      <w:pPr>
        <w:pStyle w:val="Heading2"/>
      </w:pPr>
      <w:bookmarkStart w:id="44" w:name="analysis-of-fetal-retina-rna-seq-data."/>
      <w:r>
        <w:t xml:space="preserve">Analysis of fetal retina RNA-seq data.</w:t>
      </w:r>
      <w:bookmarkEnd w:id="44"/>
    </w:p>
    <w:p>
      <w:pPr>
        <w:pStyle w:val="FirstParagraph"/>
      </w:pPr>
      <w:r>
        <w:t xml:space="preserve">             RNA-seq samples from Mellough et al. were downloaded from the SRA using methods from a previous study</w:t>
      </w:r>
      <w:r>
        <w:t xml:space="preserve"> </w:t>
      </w:r>
      <w:r>
        <w:t xml:space="preserve">(16)</w:t>
      </w:r>
      <w:r>
        <w:t xml:space="preserve">. Samples were quantified using Salmon with a quantification index generated using our fetal retina</w:t>
      </w:r>
      <w:r>
        <w:t xml:space="preserve"> </w:t>
      </w:r>
      <w:r>
        <w:rPr>
          <w:i/>
        </w:rPr>
        <w:t xml:space="preserve">de novo</w:t>
      </w:r>
      <w:r>
        <w:t xml:space="preserve"> </w:t>
      </w:r>
      <w:r>
        <w:t xml:space="preserve">transcriptome. Outliers within the dataset were identified by first performing principal component analysis of transcript level expression data, calculating the center of all data using the first two principal components, and subsequently removing five samples furthest away from the center of all data. The remaining samples were normalized using calcNormFactors from the R package edgeR and converted to weights using the voom function from the R package limma</w:t>
      </w:r>
      <w:r>
        <w:t xml:space="preserve"> </w:t>
      </w:r>
      <w:r>
        <w:t xml:space="preserve">(31)</w:t>
      </w:r>
      <w:r>
        <w:t xml:space="preserve">,</w:t>
      </w:r>
      <w:r>
        <w:t xml:space="preserve"> </w:t>
      </w:r>
      <w:r>
        <w:t xml:space="preserve">(32)</w:t>
      </w:r>
      <w:r>
        <w:t xml:space="preserve">. Differential expression was modeled using the lmFit function using developmental time point as the model design and tested for significant change in expression using the Ebayes function from limma. Gene Set enrichment was tested using the R package clusterprofileR</w:t>
      </w:r>
      <w:r>
        <w:t xml:space="preserve"> </w:t>
      </w:r>
      <w:r>
        <w:t xml:space="preserve">(33)</w:t>
      </w:r>
      <w:r>
        <w:t xml:space="preserve">. Heatmaps were generated using the ComplexHeatmap package</w:t>
      </w:r>
      <w:r>
        <w:t xml:space="preserve"> </w:t>
      </w:r>
      <w:r>
        <w:t xml:space="preserve">(34)</w:t>
      </w:r>
      <w:r>
        <w:t xml:space="preserve">.</w:t>
      </w:r>
    </w:p>
    <w:p>
      <w:pPr>
        <w:pStyle w:val="Heading2"/>
      </w:pPr>
      <w:bookmarkStart w:id="45"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45"/>
    </w:p>
    <w:p>
      <w:pPr>
        <w:pStyle w:val="FirstParagraph"/>
      </w:pPr>
      <w:r>
        <w:t xml:space="preserve">             Noncoding variants previously associated with retinal disease from the Blueprint Genetics Retinal dystrophy panel were obtained from the Blueprint Genetics website (</w:t>
      </w:r>
      <w:hyperlink r:id="rId46">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(35)</w:t>
      </w:r>
      <w:r>
        <w:t xml:space="preserve">. The VCF of variants was used as the input variants for the Variant Effect Predictor(VEP) tool from Ensembl, with each subtissue specific transcriptome as the input annotation</w:t>
      </w:r>
      <w:r>
        <w:t xml:space="preserve"> </w:t>
      </w:r>
      <w:r>
        <w:t xml:space="preserve">(36)</w:t>
      </w:r>
      <w:r>
        <w:t xml:space="preserve">. VEP was additionally run using the gencode V28 comprehensive annotation as the input annotation to identify variants whose predicted impact increased in severity.</w:t>
      </w:r>
    </w:p>
    <w:p>
      <w:pPr>
        <w:pStyle w:val="Heading2"/>
      </w:pPr>
      <w:bookmarkStart w:id="47" w:name="figures-tables-and-computing-resources"/>
      <w:r>
        <w:t xml:space="preserve">Figures, Tables, and Computing Resources</w:t>
      </w:r>
      <w:bookmarkEnd w:id="47"/>
    </w:p>
    <w:p>
      <w:pPr>
        <w:pStyle w:val="FirstParagraph"/>
      </w:pPr>
      <w:r>
        <w:t xml:space="preserve">             All statistical analyses, figures and tables in this paper were generated using the R programming language.</w:t>
      </w:r>
      <w:r>
        <w:t xml:space="preserve"> </w:t>
      </w:r>
      <w:r>
        <w:t xml:space="preserve">(37)</w:t>
      </w:r>
      <w:r>
        <w:t xml:space="preserve"> </w:t>
      </w:r>
      <w:r>
        <w:t xml:space="preserve">A full list of packages and versions can be found in the supplementary file session_info.txt. All computation was performed on the National Institutes of Health high performance computer system Biowulf (hpc.nih.gov).</w:t>
      </w:r>
    </w:p>
    <w:p>
      <w:pPr>
        <w:pStyle w:val="Heading1"/>
      </w:pPr>
      <w:bookmarkStart w:id="48" w:name="results"/>
      <w:r>
        <w:t xml:space="preserve">Results</w:t>
      </w:r>
      <w:bookmarkEnd w:id="48"/>
    </w:p>
    <w:p>
      <w:pPr>
        <w:pStyle w:val="Heading2"/>
      </w:pPr>
      <w:bookmarkStart w:id="49" w:name="long-read-pacbio-rna-sequencing-guides-short-read-de-novo-transcriptome-construction"/>
      <w:r>
        <w:t xml:space="preserve">Long-read Pacbio RNA sequencing guides short read</w:t>
      </w:r>
      <w:r>
        <w:t xml:space="preserve"> </w:t>
      </w:r>
      <w:r>
        <w:rPr>
          <w:i/>
        </w:rPr>
        <w:t xml:space="preserve">de novo</w:t>
      </w:r>
      <w:r>
        <w:t xml:space="preserve"> </w:t>
      </w:r>
      <w:r>
        <w:t xml:space="preserve">transcriptome construction</w:t>
      </w:r>
      <w:bookmarkEnd w:id="49"/>
    </w:p>
    <w:p>
      <w:pPr>
        <w:pStyle w:val="FirstParagraph"/>
      </w:pPr>
      <w:r>
        <w:t xml:space="preserve">             To evaluate the accuracy of short-read transcriptome construction, we first generated PacBio long-read RNA-seq data and Illumina short-read RNA-seq data from iPSC-RPE. These cells were differentiated using an optimized protocol, and thus minimal biological variation is expected</w:t>
      </w:r>
      <w:r>
        <w:t xml:space="preserve"> </w:t>
      </w:r>
      <w:r>
        <w:t xml:space="preserve">(38)</w:t>
      </w:r>
      <w:r>
        <w:t xml:space="preserve">,</w:t>
      </w:r>
      <w:r>
        <w:t xml:space="preserve"> </w:t>
      </w:r>
      <w:r>
        <w:t xml:space="preserve">(39)</w:t>
      </w:r>
      <w:r>
        <w:t xml:space="preserve">. We used these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50"/>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2. Transcript length and expression dictate transcriptome construction accuracy. A,B) Distributions of novel(A) and previously annotated(B) transcript lengths between Pacbio (long-read) and Stringtie (short-read) transcriptomes. Each distribution is labeled with the total number of transcripts in the distribution C) short-read construction accuracy stratified by transcript length at different Transcripts Per Million (TPM)-based transcript exclusion thresholds.</w:t>
      </w:r>
    </w:p>
    <w:p>
      <w:pPr>
        <w:pStyle w:val="BodyText"/>
      </w:pPr>
      <w:r>
        <w:t xml:space="preserve">             In our initial comparison between short and long-read transcriptomes, we noticed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2A). As the PacBio data was generated using two different libraries for 2000 bp and &gt;3000 bp transcripts, we expected an enrichment for longer transcripts in the Pacbio data set (Supplemental Figure 2). To assess accuracy relative to transcript length, we grouped transcripts by length in 1000 bp intervals, and compared accuracy between each group. We found that accuracy significantly improves for transcripts longer than 2000 bp. The construction accuracy is 0.426 and 0.137 for transcripts above and below 2000 bp, respectively.</w:t>
      </w:r>
    </w:p>
    <w:p>
      <w:pPr>
        <w:pStyle w:val="BodyText"/>
      </w:pPr>
      <w:r>
        <w:t xml:space="preserve">             We experimented with various methods to remove spurious transcripts and improve construction accuracy. We first removed transcripts that were expressed &lt;1 TPM in at least one sample as outlined in StringTie’s recommended protocol</w:t>
      </w:r>
      <w:r>
        <w:t xml:space="preserve"> </w:t>
      </w:r>
      <w:r>
        <w:t xml:space="preserve">(40)</w:t>
      </w:r>
      <w:r>
        <w:t xml:space="preserve">. This improved construction accuracy to 0.475 for transcripts longer than 2000bp and 0.212 for transcripts shorter than 2000bp. As this accuracy was still fairly low, we tried different filtering schemes, including experimenting with machine learning-based strategies to identify transcripts that were computational artifacts (data not shown), but we found that the simplest approach with high performance was to retain transcripts that had an average TPM above a specific threshold(Fig 2C).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51" w:name="thousands-of-novel-gene-isoforms-are-detected-in-human-subtissue-specific-transcriptomes"/>
      <w:r>
        <w:t xml:space="preserve">Thousands of novel gene isoforms are detected in human subtissue-specific transcriptomes</w:t>
      </w:r>
      <w:bookmarkEnd w:id="5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340 published, publicly available ocular tissue RNA-seq samples curated in EiaD using an efficient Snakemake pipeline</w:t>
      </w:r>
      <w:r>
        <w:t xml:space="preserve"> </w:t>
      </w:r>
      <w:r>
        <w:t xml:space="preserve">(19)</w:t>
      </w:r>
      <w:r>
        <w:t xml:space="preserve">. We included both adult and fetal samples from cornea, retina, and RPE tissues mined from 29 different studies (Table 1). Our fetal tissues consist of both human fetal tissues and human iPSC-derived tissue, as stem cell-derived tissue has been showed to closely resemble fetal tissue</w:t>
      </w:r>
      <w:r>
        <w:t xml:space="preserve"> </w:t>
      </w:r>
      <w:r>
        <w:t xml:space="preserve">(41)</w:t>
      </w:r>
      <w:r>
        <w:t xml:space="preserve">. To more accurately determine the tissue specificity of novel ocular transcripts, we supplemented our publicly collated normal (non-disease, non-perturbed) ocular data set with 877 samples from 44 body locations across 22 major tissues from the GTEx project and constructed transcriptomes for each of these body locations</w:t>
      </w:r>
      <w:r>
        <w:t xml:space="preserve"> </w:t>
      </w:r>
      <w:r>
        <w:t xml:space="preserve">(13)</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1217 samples. We define novel as any region of the human genome that has not been previously annotated within the Gencode, Ensembl, UCSC, and Refseq annotation databases</w:t>
      </w:r>
      <w:r>
        <w:t xml:space="preserve"> </w:t>
      </w:r>
      <w:r>
        <w:t xml:space="preserve">(8)</w:t>
      </w:r>
      <w:r>
        <w:t xml:space="preserve"> </w:t>
      </w:r>
      <w:r>
        <w:t xml:space="preserve">,</w:t>
      </w:r>
      <w:r>
        <w:t xml:space="preserve"> </w:t>
      </w:r>
      <w:r>
        <w:t xml:space="preserve">(42)</w:t>
      </w:r>
      <w:r>
        <w:t xml:space="preserve"> </w:t>
      </w:r>
      <w:r>
        <w:t xml:space="preserve">,</w:t>
      </w:r>
      <w:r>
        <w:t xml:space="preserve"> </w:t>
      </w:r>
      <w:r>
        <w:t xml:space="preserve">(43)</w:t>
      </w:r>
      <w:r>
        <w:t xml:space="preserve">. After using the filtering methods described above, we merged all subtissue specific transcriptomes into a single final transcriptome which contains 252983 distinct transcripts with 87592 previously annotated and 165391 novel transcripts, and includes 114.9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 (Fig 3B). Novel isoforms are further classified by the novelty of their encoded protein: isoforms with novel open reading frame, novel isoforms with a known ORF, and isoforms with no ORF as noncoding isoforms (Fig 3A). The number of distinct ORFs was significantly less than the number of transcripts, with 43279 previously annotated ORFs and 46226 novel ORFs across all subtissues. Furthermore, across all subtissues there was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52"/>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3.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 alternative promoter usage driving the addition of novel first exons (FE), alternative polyadenylation driving the addition of novel terminal exons (TE), and alternative splicing driving the formation of all novel exons that are not the first or last exon</w:t>
      </w:r>
      <w:r>
        <w:t xml:space="preserve"> </w:t>
      </w:r>
      <w:r>
        <w:t xml:space="preserve">(44)</w:t>
      </w:r>
      <w:r>
        <w:t xml:space="preserve">,</w:t>
      </w:r>
      <w:r>
        <w:t xml:space="preserve"> </w:t>
      </w:r>
      <w:r>
        <w:t xml:space="preserve">(45)</w:t>
      </w:r>
      <w:r>
        <w:t xml:space="preserve">,</w:t>
      </w:r>
      <w:r>
        <w:t xml:space="preserve"> </w:t>
      </w:r>
      <w:r>
        <w:t xml:space="preserve">(46)</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within our dataset are novel FEs. We noticed that the majority of RI exons lead to novel ORFs, whereas novel isoforms with omitted exons more often lead to noncoding isoforms. (Fig 3C)</w:t>
      </w:r>
    </w:p>
    <w:p>
      <w:pPr>
        <w:pStyle w:val="Heading2"/>
      </w:pPr>
      <w:bookmarkStart w:id="53" w:name="de-novo-transcriptomes-match-previously-published-experimental-data-better-than-existing-annotation"/>
      <w:r>
        <w:rPr>
          <w:i/>
        </w:rPr>
        <w:t xml:space="preserve">De novo</w:t>
      </w:r>
      <w:r>
        <w:t xml:space="preserve"> </w:t>
      </w:r>
      <w:r>
        <w:t xml:space="preserve">transcriptomes match previously published experimental data better than existing annotation</w:t>
      </w:r>
      <w:bookmarkEnd w:id="53"/>
    </w:p>
    <w:p>
      <w:pPr>
        <w:pStyle w:val="FirstParagraph"/>
      </w:pPr>
      <w:r>
        <w:t xml:space="preserve">             We validated</w:t>
      </w:r>
      <w:r>
        <w:t xml:space="preserve"> </w:t>
      </w:r>
      <w:r>
        <w:rPr>
          <w:i/>
        </w:rPr>
        <w:t xml:space="preserve">de novo</w:t>
      </w:r>
      <w:r>
        <w:t xml:space="preserve"> </w:t>
      </w:r>
      <w:r>
        <w:t xml:space="preserve">transcriptomes using three independent approaches. We first looked for evolutionary conservation since it is commonly accepted as a proxy for functional significance. We used the PhyloP 20 way species alignment, a measure of conservation between species, to calculate the average conservation score for each exon in the DNTX annotation and compared that to the average conservations score for each exon in the GENCODE annotation</w:t>
      </w:r>
      <w:r>
        <w:t xml:space="preserve"> </w:t>
      </w:r>
      <w:r>
        <w:t xml:space="preserve">(24)</w:t>
      </w:r>
      <w:r>
        <w:t xml:space="preserve">. We found that, on average, exons in the DNTX annotation are more conserved than exons in the GENCODE annotation (pvalue &lt;2.2e-16) (Supplemental Figure 2A).</w:t>
      </w:r>
    </w:p>
    <w:p>
      <w:pPr>
        <w:pStyle w:val="BodyText"/>
      </w:pPr>
      <w:r>
        <w:t xml:space="preserve">             Next, since we observed an enrichment in novel first and last exons within our data set, we decided to compare the TSS and TES within the DNTX annotation to two well-established annotation databases from FANTOM and the polyA Atlas</w:t>
      </w:r>
      <w:r>
        <w:t xml:space="preserve"> </w:t>
      </w:r>
      <w:r>
        <w:t xml:space="preserve">(26)</w:t>
      </w:r>
      <w:r>
        <w:t xml:space="preserve">,</w:t>
      </w:r>
      <w:r>
        <w:t xml:space="preserve"> </w:t>
      </w:r>
      <w:r>
        <w:t xml:space="preserve">(27)</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(47)</w:t>
      </w:r>
      <w:r>
        <w:t xml:space="preserve">. We calculated the absolute distance of DNTX TSS’s to CAGE peaks, and compared them to the absolute distance of GENCODE TSS’s to CAGE peaks. We found that, on average, DNTX TSS’s were closer to CAGE peaks than GENCODE TSS’s (pvalue &lt;2.2e-16)(Supplemental Figure 2B).</w:t>
      </w:r>
    </w:p>
    <w:p>
      <w:pPr>
        <w:pStyle w:val="BodyText"/>
      </w:pPr>
      <w:r>
        <w:t xml:space="preserve">             Finally,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(48)</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2C)</w:t>
      </w:r>
    </w:p>
    <w:p>
      <w:pPr>
        <w:pStyle w:val="Heading2"/>
      </w:pPr>
      <w:bookmarkStart w:id="54" w:name="de-novo-transcriptomes-reduce-overall-transcriptome-sizes"/>
      <w:r>
        <w:rPr>
          <w:i/>
        </w:rPr>
        <w:t xml:space="preserve">De novo</w:t>
      </w:r>
      <w:r>
        <w:t xml:space="preserve"> </w:t>
      </w:r>
      <w:r>
        <w:t xml:space="preserve">transcriptomes reduce overall transcriptome sizes</w:t>
      </w:r>
      <w:bookmarkEnd w:id="54"/>
    </w:p>
    <w:p>
      <w:pPr>
        <w:pStyle w:val="FirstParagraph"/>
      </w:pPr>
      <w:r>
        <w:t xml:space="preserve">             </w:t>
      </w:r>
      <w:r>
        <w:rPr>
          <w:i/>
        </w:rPr>
        <w:t xml:space="preserve">De novo</w:t>
      </w:r>
      <w:r>
        <w:t xml:space="preserve"> </w:t>
      </w:r>
      <w:r>
        <w:t xml:space="preserve">transcriptomes removed on average 76.141 % of a subtissue’s base transcriptome. We defined base transcriptome for a subtissue as any transcript in the GENCODE annotation with non-zero TPM in at least one sample of a given subtissue. This was a large reduction in transcriptome size and we wanted to ensure that we were not unduly discarding data. We quantified transcript expression of each sample using Salmon with two methods: once using the full gencode V28 human transcript annotation, and once using its associated subtissue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3A), the average Salmon mapping rate increased by 2.041 % indicating that the vast majority of gene expression data is retained within our transcriptome (Supplemental Figure 3B).</w:t>
      </w:r>
    </w:p>
    <w:p>
      <w:pPr>
        <w:pStyle w:val="Heading2"/>
      </w:pPr>
      <w:bookmarkStart w:id="55" w:name="novel-isoforms-are-identified-in-ocular-tissues"/>
      <w:r>
        <w:t xml:space="preserve">Novel Isoforms are identified in ocular tissues</w:t>
      </w:r>
      <w:bookmarkEnd w:id="55"/>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4. Overview of novel gene isoforms in the eye. A) Set intersection of novel isoforms in ocular transcriptomes. B) Boxplots of fraction isoform usage (FIU) overlaid over FIU data points with estimated distribution of data set above each boxplot.</w:t>
      </w:r>
    </w:p>
    <w:p>
      <w:pPr>
        <w:pStyle w:val="BodyText"/>
      </w:pPr>
      <w:r>
        <w:t xml:space="preserve">             Using the pan-eye transcriptome, we compared the overlap in constructed novel isoforms across ocular subtissues and found that 77.968 % of novel isoforms are specific to a singular ocular subtissue (Fig 4A). Additionally, fetal-like tissues had more novel isoforms that their adult counterpart. For each novel isoform we then calculated fraction isoform usage (FIU), or the fraction of total gene expression a transcript contributes to its parent gene. We found that, on average, novel isoforms contributed to 20.584 % of their parent gene’s expression (Fig 4B).</w:t>
      </w:r>
    </w:p>
    <w:p>
      <w:pPr>
        <w:pStyle w:val="Heading2"/>
      </w:pPr>
      <w:bookmarkStart w:id="57" w:name="differential-usage-of-gene-isoforms-occurs-during-retinal-development"/>
      <w:r>
        <w:t xml:space="preserve">Differential usage of gene isoforms occurs during retinal development</w:t>
      </w:r>
      <w:bookmarkEnd w:id="57"/>
    </w:p>
    <w:p>
      <w:pPr>
        <w:pStyle w:val="FirstParagraph"/>
      </w:pPr>
      <w:r>
        <w:t xml:space="preserve">             Multiple studies have shown that gene isoforms play a significant role in eye development</w:t>
      </w:r>
      <w:r>
        <w:t xml:space="preserve"> </w:t>
      </w:r>
      <w:r>
        <w:t xml:space="preserve">(49)</w:t>
      </w:r>
      <w:r>
        <w:t xml:space="preserve">,</w:t>
      </w:r>
      <w:r>
        <w:t xml:space="preserve"> </w:t>
      </w:r>
      <w:r>
        <w:t xml:space="preserve">(50)</w:t>
      </w:r>
      <w:r>
        <w:t xml:space="preserve">. We hypothesized that the DNTX annotation provides additional insight into alternative isoform usage and identifies novel gene isoforms potentially involved in eye development. We used RNA-seq data of the developing retina from Mellough et al, an independent data set that we did not include for transcriptome construction, and used a subset of the DNTX annotation corresponding to fetal retina to quantify transcript expression and identify transcripts with significant changes in expression across retinal development. Transcripts that are differentially expressed (qvalue &lt;.01) and have a mean FIU difference of .25 in at least one comparison of time points are indicative of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58"/>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5 Differential Transcript usage during Retinal Development. A) Volcano Plot of tested transcripts B) Dot plot for gene set enrichment analysis C) Heatmap of hiearchical clustering of transcripts with DTU associated with eye development D) Transcript models for</w:t>
      </w:r>
      <w:r>
        <w:t xml:space="preserve"> </w:t>
      </w:r>
      <w:r>
        <w:rPr>
          <w:i/>
        </w:rPr>
        <w:t xml:space="preserve">MYO9A</w:t>
      </w:r>
      <w:r>
        <w:t xml:space="preserve">, a gene undergoing DTU F) FIU change in</w:t>
      </w:r>
      <w:r>
        <w:t xml:space="preserve"> </w:t>
      </w:r>
      <w:r>
        <w:rPr>
          <w:i/>
        </w:rPr>
        <w:t xml:space="preserve">MYO9A</w:t>
      </w:r>
      <w:r>
        <w:t xml:space="preserve"> </w:t>
      </w:r>
      <w:r>
        <w:t xml:space="preserve">FIU across development F) average log-transformed TPM expression of</w:t>
      </w:r>
      <w:r>
        <w:t xml:space="preserve"> </w:t>
      </w:r>
      <w:r>
        <w:rPr>
          <w:i/>
        </w:rPr>
        <w:t xml:space="preserve">MYO9A</w:t>
      </w:r>
      <w:r>
        <w:t xml:space="preserve"> </w:t>
      </w:r>
      <w:r>
        <w:t xml:space="preserve">across retinal development</w:t>
      </w:r>
    </w:p>
    <w:p>
      <w:pPr>
        <w:pStyle w:val="BodyText"/>
      </w:pPr>
      <w:r>
        <w:t xml:space="preserve">             We analyzed 24 samples across 14 developmental days post fertilization and found 1717 transcripts across 812 genes displaying DTU (Fig 5A). We found that genes involved in DTU are enriched(qvalue &lt;.05) for genes related to eye and neurological development.(Fig 5B), and that hierarchical clustering of DTU transcripts generates an early stage and late stage cluster.(Fig 5C) One of these genes,</w:t>
      </w:r>
      <w:r>
        <w:rPr>
          <w:i/>
        </w:rPr>
        <w:t xml:space="preserve">MYO9A</w:t>
      </w:r>
      <w:r>
        <w:t xml:space="preserve">, is a classical example of DTU.</w:t>
      </w:r>
      <w:r>
        <w:t xml:space="preserve"> </w:t>
      </w:r>
      <w:r>
        <w:rPr>
          <w:i/>
        </w:rPr>
        <w:t xml:space="preserve">MYO9A</w:t>
      </w:r>
      <w:r>
        <w:t xml:space="preserve"> </w:t>
      </w:r>
      <w:r>
        <w:t xml:space="preserve">is associated with the visual perception GO term, plays a role in ocular development, and has been associated with ocular disease</w:t>
      </w:r>
      <w:r>
        <w:t xml:space="preserve"> </w:t>
      </w:r>
      <w:r>
        <w:t xml:space="preserve">(51)</w:t>
      </w:r>
      <w:r>
        <w:t xml:space="preserve">. While expression of</w:t>
      </w:r>
      <w:r>
        <w:t xml:space="preserve"> </w:t>
      </w:r>
      <w:r>
        <w:rPr>
          <w:i/>
        </w:rPr>
        <w:t xml:space="preserve">MYO9A</w:t>
      </w:r>
      <w:r>
        <w:t xml:space="preserve"> </w:t>
      </w:r>
      <w:r>
        <w:t xml:space="preserve">remains relatively unchanged across development, expression of two of its associated isoforms in fetal retina (Fig 5D) changes dramatically during development: a novel isoform is highly expressed early during development, but switched to the canonical isoform later in development (Fig 5E,F). A full list of genes and transcripts displaying DTU is available in Supplemental data.</w:t>
      </w:r>
    </w:p>
    <w:p>
      <w:pPr>
        <w:pStyle w:val="Heading2"/>
      </w:pPr>
      <w:bookmarkStart w:id="59" w:name="de-novo-transcriptomes-allow-for-a-more-precise-variant-prioritization."/>
      <w:r>
        <w:rPr>
          <w:i/>
        </w:rPr>
        <w:t xml:space="preserve">De novo</w:t>
      </w:r>
      <w:r>
        <w:t xml:space="preserve"> </w:t>
      </w:r>
      <w:r>
        <w:t xml:space="preserve">transcriptomes allow for a more precise variant prioritization.</w:t>
      </w:r>
      <w:bookmarkEnd w:id="59"/>
    </w:p>
    <w:p>
      <w:pPr>
        <w:pStyle w:val="FirstParagraph"/>
      </w:pPr>
      <w:r>
        <w:t xml:space="preserve">             The identification of a disease-causing variant through genome sequencing is a common step in diagnosing genetic disease, when disease causing variants cannot be determined from exonic sequencing. Prediction of a variant’s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(52)</w:t>
      </w:r>
      <w:r>
        <w:t xml:space="preserve">,</w:t>
      </w:r>
      <w:r>
        <w:t xml:space="preserve"> </w:t>
      </w:r>
      <w:r>
        <w:t xml:space="preserve">(53)</w:t>
      </w:r>
      <w:r>
        <w:t xml:space="preserve">,</w:t>
      </w:r>
      <w:r>
        <w:t xml:space="preserve"> </w:t>
      </w:r>
      <w:r>
        <w:t xml:space="preserve">(54)</w:t>
      </w:r>
      <w:r>
        <w:t xml:space="preserve">,</w:t>
      </w:r>
      <w:r>
        <w:t xml:space="preserve"> </w:t>
      </w:r>
      <w:r>
        <w:t xml:space="preserve">(55)</w:t>
      </w:r>
      <w:r>
        <w:t xml:space="preserve">,</w:t>
      </w:r>
      <w:r>
        <w:t xml:space="preserve"> </w:t>
      </w:r>
      <w:r>
        <w:t xml:space="preserve">(56)</w:t>
      </w:r>
      <w:r>
        <w:t xml:space="preserve">,</w:t>
      </w:r>
      <w:r>
        <w:t xml:space="preserve"> </w:t>
      </w:r>
      <w:r>
        <w:t xml:space="preserve">(57)</w:t>
      </w:r>
      <w:r>
        <w:t xml:space="preserve">,</w:t>
      </w:r>
      <w:r>
        <w:t xml:space="preserve"> </w:t>
      </w:r>
      <w:r>
        <w:t xml:space="preserve">(58)</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the</w:t>
      </w:r>
      <w:r>
        <w:t xml:space="preserve"> </w:t>
      </w:r>
      <w:r>
        <w:rPr>
          <w:i/>
        </w:rPr>
        <w:t xml:space="preserve">de novo</w:t>
      </w:r>
      <w:r>
        <w:t xml:space="preserve"> </w:t>
      </w:r>
      <w:r>
        <w:t xml:space="preserve">transcriptomes.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72"/>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Gene Name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Associated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Location (hg19)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Canonical Variant HGVS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Gencode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DNTX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Published Study</w:t>
            </w:r>
          </w:p>
        </w:tc>
      </w:tr>
      <w:tr>
        <w:trPr>
          <w:cantSplit/>
          <w:trHeight w:val="360" w:hRule="auto"/>
        </w:trPr>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ABCA4-associated maculopathy</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Chr1:94481967 C&gt;T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c.5197–557G&gt;T, NM_000350.2</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Bauwens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Chr1:94546814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c.859–540C&gt;G,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Stargardt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Chr1:94484001 C&gt;T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c.5196+1137G&gt;A,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Braun et al.</w:t>
              <w:b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Chr1:94484082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c.5196+1056A&gt;G,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Chr1:94526934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c.1938-619A&gt;G,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splice region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Chr1:94527698 G&gt;C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c.1937+435C&gt;G,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Sangermano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Chr1:94546780 C&gt;G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c.859-506G&gt;C, NM_000350.2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IFT140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Ciliopathy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Chr16:1576595 C&gt;A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c.2577+25G&gt;A, NM_014714.3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missense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Geoffroy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PROM1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Cone–rod dystrophy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Chr4:15989860 T&gt;G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c.2077-521A&gt;G, NM_006017.2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Mayer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RPGRIP1-mediated inherited retinal degeneration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Chr14:21789588 G&gt;A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c.1611+27G&gt;A, NM_020366.3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human genome variation society (HGVS) annotation is based on transcripts from the RefSeq annnotation. Predicted consequences were generaed with the Variant Effect Predictor(VEP)</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were in deep intronic hotpsots known for pathogenic variation within the gene ABCA4.</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3-1.png" id="0" name="Picture"/>
                    <pic:cNvPicPr>
                      <a:picLocks noChangeArrowheads="1" noChangeAspect="1"/>
                    </pic:cNvPicPr>
                  </pic:nvPicPr>
                  <pic:blipFill>
                    <a:blip r:embed="rId60"/>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Figure 6. Transcript models for selected Isoforms of</w:t>
      </w:r>
      <w:r>
        <w:t xml:space="preserve"> </w:t>
      </w:r>
      <w:r>
        <w:rPr>
          <w:i/>
        </w:rPr>
        <w:t xml:space="preserve">ABCA4</w:t>
      </w:r>
      <w:r>
        <w:t xml:space="preserve"> </w:t>
      </w:r>
      <w:r>
        <w:t xml:space="preserve">along with location of pathogenic intronic variants. Location is on the hg19 human genome build. Thick lines indicate protein coding regions. Arrow indicates direction of transcription. Introns not drawn to scale</w:t>
      </w:r>
    </w:p>
    <w:p>
      <w:pPr>
        <w:pStyle w:val="BodyText"/>
      </w:pPr>
      <w:r>
        <w:t xml:space="preserve">             These variants were spanned by three distinct novel isoforms with two containing open reading frames (ORFs) encoding only the carboxy-terminus of the canonical protein isoform, and one noncoding spanning the proximal half of the canonical isoform (Fig 6).</w:t>
      </w:r>
      <w:r>
        <w:t xml:space="preserve"> </w:t>
      </w:r>
      <w:r>
        <w:rPr>
          <w:i/>
        </w:rPr>
        <w:t xml:space="preserve">ABCA4</w:t>
      </w:r>
      <w:r>
        <w:t xml:space="preserve"> </w:t>
      </w:r>
      <w:r>
        <w:t xml:space="preserve">expression and function has also been observed in RPE</w:t>
      </w:r>
      <w:r>
        <w:t xml:space="preserve"> </w:t>
      </w:r>
      <w:r>
        <w:t xml:space="preserve">(59)</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t xml:space="preserve">             To further highlight the potential importance of</w:t>
      </w:r>
      <w:r>
        <w:t xml:space="preserve"> </w:t>
      </w:r>
      <w:r>
        <w:rPr>
          <w:i/>
        </w:rPr>
        <w:t xml:space="preserve">de novo</w:t>
      </w:r>
      <w:r>
        <w:t xml:space="preserve"> </w:t>
      </w:r>
      <w:r>
        <w:t xml:space="preserve">transcriptomes for future genetic tests we determined how many genes associated with retinal disease from RetNet have novel isoforms (sph.uth.edu/retnet/). We found that within the set of genes with novel isoforms, there is significant enrichment of retinal disease genes (hypergeometric pvalue = 3.4e-04), with 220 out of 379 RetNet genes having a novel isoform. A full list of these genes is available in the Supplementary data.</w:t>
      </w:r>
    </w:p>
    <w:p>
      <w:pPr>
        <w:pStyle w:val="Heading2"/>
      </w:pPr>
      <w:bookmarkStart w:id="61"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61"/>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62"/>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7. Screenshots from dynamic</w:t>
      </w:r>
      <w:r>
        <w:t xml:space="preserve"> </w:t>
      </w:r>
      <w:r>
        <w:rPr>
          <w:i/>
        </w:rPr>
        <w:t xml:space="preserve">de novo</w:t>
      </w:r>
      <w:r>
        <w:t xml:space="preserve"> </w:t>
      </w:r>
      <w:r>
        <w:t xml:space="preserve">transcriptome visualization tool. A). FIU bar plot for selected gene and subtissue.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R-Shiny app for visualizing and accessing our</w:t>
      </w:r>
      <w:r>
        <w:t xml:space="preserve"> </w:t>
      </w:r>
      <w:r>
        <w:rPr>
          <w:i/>
        </w:rPr>
        <w:t xml:space="preserve">de novo</w:t>
      </w:r>
      <w:r>
        <w:t xml:space="preserve"> </w:t>
      </w:r>
      <w:r>
        <w:t xml:space="preserve">transcriptomes. For each subtissue we show the FIU for each transcript associated with a gene (Fig 7A). We show the exon-intron structure of each transcript and mousing over exons show genomic location overlapping SNPs, and phylogenetic conservation score (Fig 7B). We additionally show a barplot of the fraction of samples each transcript was constructed in (Fig 7C). Users can also download the</w:t>
      </w:r>
      <w:r>
        <w:t xml:space="preserve"> </w:t>
      </w:r>
      <w:r>
        <w:rPr>
          <w:i/>
        </w:rPr>
        <w:t xml:space="preserve">de novo</w:t>
      </w:r>
      <w:r>
        <w:t xml:space="preserve"> </w:t>
      </w:r>
      <w:r>
        <w:t xml:space="preserve">transcriptomes for selected subtissues in GTF and fasta format. Instructions to download and run the app are available at</w:t>
      </w:r>
      <w:r>
        <w:t xml:space="preserve"> </w:t>
      </w:r>
      <w:hyperlink r:id="rId29">
        <w:r>
          <w:rPr>
            <w:rStyle w:val="Hyperlink"/>
          </w:rPr>
          <w:t xml:space="preserve">https://github.com/vinay-swamy/ocular_transcriptomes_shiny</w:t>
        </w:r>
      </w:hyperlink>
      <w:r>
        <w:t xml:space="preserve">. While visualization of direct transcript expresion is not a part of this app, it can be viewed in the eyeIntegration app</w:t>
      </w:r>
      <w:r>
        <w:t xml:space="preserve"> </w:t>
      </w:r>
      <w:r>
        <w:t xml:space="preserve">(16)</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package all tools used for our transcriptome pipeline within a portable docker container with a stand-alone run script. This pipeline allows other researchers to run their own samples, and generate figures and annotations similar to what is shown here, available at</w:t>
      </w:r>
      <w:r>
        <w:t xml:space="preserve"> </w:t>
      </w:r>
      <w:hyperlink r:id="rId26">
        <w:r>
          <w:rPr>
            <w:rStyle w:val="Hyperlink"/>
          </w:rPr>
          <w:t xml:space="preserve">https://github.com/vinay-swamy/ocular_transcriptomes_pipeline</w:t>
        </w:r>
      </w:hyperlink>
    </w:p>
    <w:p>
      <w:pPr>
        <w:pStyle w:val="Heading1"/>
      </w:pPr>
      <w:bookmarkStart w:id="63" w:name="discussion"/>
      <w:r>
        <w:t xml:space="preserve">Discussion</w:t>
      </w:r>
      <w:bookmarkEnd w:id="63"/>
    </w:p>
    <w:p>
      <w:pPr>
        <w:pStyle w:val="FirstParagraph"/>
      </w:pPr>
      <w:r>
        <w:t xml:space="preserve">             Motivated by the lack of a comprehensive transcriptome for the eye, we constructed transcriptomes for adult and fetal retina, RPE and cornea. By using long-read RNA-seq data to calibrate our short-read construction pipeline, we were able to identify biologically relevant transcriptomes. We found that concordance between long and short-read-based transcriptomes is directly related to transcript length and transcript expression. We saw a clear inability within the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the pan-eye transcriptomes, an approach that has several key advantages. First, the large sample size overcomes the noisy nature of RNA-seq data. Second, as the cohort is constructed from many independent studies, we are more confident that the transcriptomes accurately reflect the biology of their originating subtissue and are not a technical artifact due to preparation of the samples. As another line of evidence, the</w:t>
      </w:r>
      <w:r>
        <w:t xml:space="preserve"> </w:t>
      </w:r>
      <w:r>
        <w:rPr>
          <w:i/>
        </w:rPr>
        <w:t xml:space="preserve">de novo</w:t>
      </w:r>
      <w:r>
        <w:t xml:space="preserve"> </w:t>
      </w:r>
      <w:r>
        <w:t xml:space="preserve">transcriptomes match existing large scale data sets and are more conserved than existing annotations (Supplemental Figure 2).</w:t>
      </w:r>
    </w:p>
    <w:p>
      <w:pPr>
        <w:pStyle w:val="BodyText"/>
      </w:pPr>
      <w:r>
        <w:t xml:space="preserve">             In each ocular subtissue we examined, we found hundreds of novel gene isoforms, many of which were novel due to novel exons. Within ocular subtissues, these novel isoforms are most commonly specific to single subtissue. This makes sense as a majority of the exons in our</w:t>
      </w:r>
      <w:r>
        <w:t xml:space="preserve"> </w:t>
      </w:r>
      <w:r>
        <w:rPr>
          <w:i/>
        </w:rPr>
        <w:t xml:space="preserve">de novo</w:t>
      </w:r>
      <w:r>
        <w:t xml:space="preserve"> </w:t>
      </w:r>
      <w:r>
        <w:t xml:space="preserve">transcriptomes are first and last exons, which have been previously shown to significantly contribute to the tissue specificity of gene isoforms</w:t>
      </w:r>
      <w:r>
        <w:t xml:space="preserve"> </w:t>
      </w:r>
      <w:r>
        <w:t xml:space="preserve">(60)</w:t>
      </w:r>
      <w:r>
        <w:t xml:space="preserve">. We also found that on average novel isoforms represent about 20.584 %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(9)</w:t>
      </w:r>
      <w:r>
        <w:t xml:space="preserve">. This especially makes sense in the retina which contain over a dozen distinct cell types, several of which contribute to 5% or less of the total cell population</w:t>
      </w:r>
      <w:r>
        <w:t xml:space="preserve"> </w:t>
      </w:r>
      <w:r>
        <w:t xml:space="preserve">(61)</w:t>
      </w:r>
      <w:r>
        <w:t xml:space="preserve">. As we imposed a strict expression filter as part of our transcriptome pipeline, we may have removed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eye diseases. This work is most useful as a starting point for other researchers; we want to make the transcriptomes easily accessible to other researchers, so we designed a webapp for visualization and to access tissue-specific annotation files. We believe this project will enable other researchers to explore new research directions and answer long pending questions</w:t>
      </w:r>
    </w:p>
    <w:p>
      <w:pPr>
        <w:pStyle w:val="Heading1"/>
      </w:pPr>
      <w:bookmarkStart w:id="64" w:name="supplemental-figures"/>
      <w:r>
        <w:t xml:space="preserve">Supplemental Figures</w:t>
      </w:r>
      <w:bookmarkEnd w:id="64"/>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5"/>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1.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6"/>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2.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7"/>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3. Comparison of Salmon mapping rate change vs transcriptome size decrease.</w:t>
      </w:r>
    </w:p>
    <w:p>
      <w:pPr>
        <w:pStyle w:val="Heading1"/>
      </w:pPr>
      <w:bookmarkStart w:id="68" w:name="references"/>
      <w:r>
        <w:t xml:space="preserve">References</w:t>
      </w:r>
      <w:bookmarkEnd w:id="68"/>
    </w:p>
    <w:bookmarkStart w:id="130" w:name="refs"/>
    <w:bookmarkStart w:id="69" w:name="ref-dykes_hic2_2018"/>
    <w:p>
      <w:pPr>
        <w:pStyle w:val="Bibliography"/>
      </w:pPr>
      <w:r>
        <w:t xml:space="preserve">1.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69"/>
    <w:bookmarkStart w:id="70" w:name="ref-trapnell_transcript_2010"/>
    <w:p>
      <w:pPr>
        <w:pStyle w:val="Bibliography"/>
      </w:pPr>
      <w:r>
        <w:t xml:space="preserve">2.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70"/>
    <w:bookmarkStart w:id="71" w:name="ref-mitra_splicing_2020"/>
    <w:p>
      <w:pPr>
        <w:pStyle w:val="Bibliography"/>
      </w:pPr>
      <w:r>
        <w:t xml:space="preserve">3.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71"/>
    <w:bookmarkStart w:id="72" w:name="ref-vitting-seerup_landscape_2017"/>
    <w:p>
      <w:pPr>
        <w:pStyle w:val="Bibliography"/>
      </w:pPr>
      <w:r>
        <w:t xml:space="preserve">4.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72"/>
    <w:bookmarkStart w:id="73" w:name="ref-neagoe_ciprian_titin_2002"/>
    <w:p>
      <w:pPr>
        <w:pStyle w:val="Bibliography"/>
      </w:pPr>
      <w:r>
        <w:t xml:space="preserve">5.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73"/>
    <w:bookmarkStart w:id="74" w:name="ref-mills_rna-seq_2013"/>
    <w:p>
      <w:pPr>
        <w:pStyle w:val="Bibliography"/>
      </w:pPr>
      <w:r>
        <w:t xml:space="preserve">6.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74"/>
    <w:bookmarkStart w:id="75" w:name="ref-perrin_diabetic_2005"/>
    <w:p>
      <w:pPr>
        <w:pStyle w:val="Bibliography"/>
      </w:pPr>
      <w:r>
        <w:t xml:space="preserve">7.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75"/>
    <w:bookmarkStart w:id="76" w:name="ref-frankish_gencode_2019"/>
    <w:p>
      <w:pPr>
        <w:pStyle w:val="Bibliography"/>
      </w:pPr>
      <w:r>
        <w:t xml:space="preserve">8.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76"/>
    <w:bookmarkStart w:id="77" w:name="ref-zhang_incomplete_2020"/>
    <w:p>
      <w:pPr>
        <w:pStyle w:val="Bibliography"/>
      </w:pPr>
      <w:r>
        <w:t xml:space="preserve">9.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77"/>
    <w:bookmarkStart w:id="78" w:name="ref-nagalakshmi_transcriptional_2008"/>
    <w:p>
      <w:pPr>
        <w:pStyle w:val="Bibliography"/>
      </w:pPr>
      <w:r>
        <w:t xml:space="preserve">10.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78"/>
    <w:bookmarkStart w:id="79" w:name="ref-haas_novo_2013"/>
    <w:p>
      <w:pPr>
        <w:pStyle w:val="Bibliography"/>
      </w:pPr>
      <w:r>
        <w:t xml:space="preserve">11.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79"/>
    <w:bookmarkStart w:id="80" w:name="ref-pertea_stringtie_2015"/>
    <w:p>
      <w:pPr>
        <w:pStyle w:val="Bibliography"/>
      </w:pPr>
      <w:r>
        <w:t xml:space="preserve">12.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80"/>
    <w:bookmarkStart w:id="81" w:name="ref-gtex_consortium_genetic_2017"/>
    <w:p>
      <w:pPr>
        <w:pStyle w:val="Bibliography"/>
      </w:pPr>
      <w:r>
        <w:t xml:space="preserve">13.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81"/>
    <w:bookmarkStart w:id="82" w:name="ref-pertea_chess_2018"/>
    <w:p>
      <w:pPr>
        <w:pStyle w:val="Bibliography"/>
      </w:pPr>
      <w:r>
        <w:t xml:space="preserve">14.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82"/>
    <w:bookmarkStart w:id="83" w:name="ref-wenger_accurate_2019"/>
    <w:p>
      <w:pPr>
        <w:pStyle w:val="Bibliography"/>
      </w:pPr>
      <w:r>
        <w:t xml:space="preserve">15.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83"/>
    <w:bookmarkStart w:id="84" w:name="ref-swamy_eye_2019"/>
    <w:p>
      <w:pPr>
        <w:pStyle w:val="Bibliography"/>
      </w:pPr>
      <w:r>
        <w:t xml:space="preserve">16.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84"/>
    <w:bookmarkStart w:id="85" w:name="ref-bryan_identifying_2018"/>
    <w:p>
      <w:pPr>
        <w:pStyle w:val="Bibliography"/>
      </w:pPr>
      <w:r>
        <w:t xml:space="preserve">17. Bryan,J.M., Fufa,T.D., Bharti,K., Brooks,B.P., Hufnagel,R.B. and McGaughey,D.M.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w:t>
      </w:r>
      <w:r>
        <w:t xml:space="preserve"> </w:t>
      </w:r>
      <w:r>
        <w:rPr>
          <w:b/>
        </w:rPr>
        <w:t xml:space="preserve">27</w:t>
      </w:r>
      <w:r>
        <w:t xml:space="preserve">, 3325–3339.</w:t>
      </w:r>
    </w:p>
    <w:bookmarkEnd w:id="85"/>
    <w:bookmarkStart w:id="86" w:name="ref-may-simera_primary_2018"/>
    <w:p>
      <w:pPr>
        <w:pStyle w:val="Bibliography"/>
      </w:pPr>
      <w:r>
        <w:t xml:space="preserve">18. May-Simera,H.L., Wan,Q., Jha,B.S., Hartford,J., Khristov,V., Dejene,R., Chang,J., Patnaik,S., Lu,Q. and Banerjee,P.</w:t>
      </w:r>
      <w:r>
        <w:t xml:space="preserve"> </w:t>
      </w:r>
      <w:r>
        <w:rPr>
          <w:i/>
        </w:rPr>
        <w:t xml:space="preserve">et al.</w:t>
      </w:r>
      <w:r>
        <w:t xml:space="preserve"> </w:t>
      </w:r>
      <w:r>
        <w:t xml:space="preserve">(2018) Primary Cilium-Mediated Retinal Pigment Epithelium Maturation Is Disrupted in Ciliopathy Patient Cells.</w:t>
      </w:r>
      <w:r>
        <w:t xml:space="preserve"> </w:t>
      </w:r>
      <w:r>
        <w:rPr>
          <w:i/>
        </w:rPr>
        <w:t xml:space="preserve">Cell reports</w:t>
      </w:r>
      <w:r>
        <w:t xml:space="preserve">,</w:t>
      </w:r>
      <w:r>
        <w:t xml:space="preserve"> </w:t>
      </w:r>
      <w:r>
        <w:rPr>
          <w:b/>
        </w:rPr>
        <w:t xml:space="preserve">22</w:t>
      </w:r>
      <w:r>
        <w:t xml:space="preserve">, 189–205.</w:t>
      </w:r>
    </w:p>
    <w:bookmarkEnd w:id="86"/>
    <w:bookmarkStart w:id="87" w:name="ref-koster_snakemakescalable_2012"/>
    <w:p>
      <w:pPr>
        <w:pStyle w:val="Bibliography"/>
      </w:pPr>
      <w:r>
        <w:t xml:space="preserve">19.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87"/>
    <w:bookmarkStart w:id="88" w:name="ref-dobin_star_2013"/>
    <w:p>
      <w:pPr>
        <w:pStyle w:val="Bibliography"/>
      </w:pPr>
      <w:r>
        <w:t xml:space="preserve">20.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88"/>
    <w:bookmarkStart w:id="89" w:name="ref-li_sequence_2009"/>
    <w:p>
      <w:pPr>
        <w:pStyle w:val="Bibliography"/>
      </w:pPr>
      <w:r>
        <w:t xml:space="preserve">21.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89"/>
    <w:bookmarkStart w:id="90" w:name="ref-pertea_gff_2020"/>
    <w:p>
      <w:pPr>
        <w:pStyle w:val="Bibliography"/>
      </w:pPr>
      <w:r>
        <w:t xml:space="preserve">22.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90"/>
    <w:bookmarkStart w:id="91" w:name="ref-patro_salmon_2017"/>
    <w:p>
      <w:pPr>
        <w:pStyle w:val="Bibliography"/>
      </w:pPr>
      <w:r>
        <w:t xml:space="preserve">23.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91"/>
    <w:bookmarkStart w:id="92" w:name="ref-pollard_detection_2010"/>
    <w:p>
      <w:pPr>
        <w:pStyle w:val="Bibliography"/>
      </w:pPr>
      <w:r>
        <w:t xml:space="preserve">24.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92"/>
    <w:bookmarkStart w:id="93" w:name="ref-neph_bedops_2012"/>
    <w:p>
      <w:pPr>
        <w:pStyle w:val="Bibliography"/>
      </w:pPr>
      <w:r>
        <w:t xml:space="preserve">25.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93"/>
    <w:bookmarkStart w:id="94" w:name="ref-noguchi_fantom5_2017"/>
    <w:p>
      <w:pPr>
        <w:pStyle w:val="Bibliography"/>
      </w:pPr>
      <w:r>
        <w:t xml:space="preserve">26.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94"/>
    <w:bookmarkStart w:id="95" w:name="ref-herrmann_polyasite_2020"/>
    <w:p>
      <w:pPr>
        <w:pStyle w:val="Bibliography"/>
      </w:pPr>
      <w:r>
        <w:t xml:space="preserve">27.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95"/>
    <w:bookmarkStart w:id="96" w:name="ref-quinlan_bedtools_2010"/>
    <w:p>
      <w:pPr>
        <w:pStyle w:val="Bibliography"/>
      </w:pPr>
      <w:r>
        <w:t xml:space="preserve">28.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96"/>
    <w:bookmarkStart w:id="97" w:name="ref-lex_upset_2014"/>
    <w:p>
      <w:pPr>
        <w:pStyle w:val="Bibliography"/>
      </w:pPr>
      <w:r>
        <w:t xml:space="preserve">29.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97"/>
    <w:bookmarkStart w:id="98" w:name="ref-allen_raincloud_2019"/>
    <w:p>
      <w:pPr>
        <w:pStyle w:val="Bibliography"/>
      </w:pPr>
      <w:r>
        <w:t xml:space="preserve">30.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98"/>
    <w:bookmarkStart w:id="99" w:name="ref-robinson_edger_2010"/>
    <w:p>
      <w:pPr>
        <w:pStyle w:val="Bibliography"/>
      </w:pPr>
      <w:r>
        <w:t xml:space="preserve">31.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99"/>
    <w:bookmarkStart w:id="100" w:name="ref-ritchie_limma_2015"/>
    <w:p>
      <w:pPr>
        <w:pStyle w:val="Bibliography"/>
      </w:pPr>
      <w:r>
        <w:t xml:space="preserve">32.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100"/>
    <w:bookmarkStart w:id="101" w:name="ref-yu_clusterprofiler_2012"/>
    <w:p>
      <w:pPr>
        <w:pStyle w:val="Bibliography"/>
      </w:pPr>
      <w:r>
        <w:t xml:space="preserve">33.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101"/>
    <w:bookmarkStart w:id="102" w:name="ref-gu_complex_2016"/>
    <w:p>
      <w:pPr>
        <w:pStyle w:val="Bibliography"/>
      </w:pPr>
      <w:r>
        <w:t xml:space="preserve">34.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102"/>
    <w:bookmarkStart w:id="103" w:name="ref-zhao_crossmap_2014"/>
    <w:p>
      <w:pPr>
        <w:pStyle w:val="Bibliography"/>
      </w:pPr>
      <w:r>
        <w:t xml:space="preserve">35. Zhao,H., Sun,Z., Wang,J., Huang,H., Kocher,J.-P. and Wang,L. (2014) CrossMap: A versatile tool for coordinate conversion between genome assemblies.</w:t>
      </w:r>
      <w:r>
        <w:t xml:space="preserve"> </w:t>
      </w:r>
      <w:r>
        <w:rPr>
          <w:i/>
        </w:rPr>
        <w:t xml:space="preserve">Bioinformatics (Oxford, England)</w:t>
      </w:r>
      <w:r>
        <w:t xml:space="preserve">,</w:t>
      </w:r>
      <w:r>
        <w:t xml:space="preserve"> </w:t>
      </w:r>
      <w:r>
        <w:rPr>
          <w:b/>
        </w:rPr>
        <w:t xml:space="preserve">30</w:t>
      </w:r>
      <w:r>
        <w:t xml:space="preserve">, 1006–1007.</w:t>
      </w:r>
    </w:p>
    <w:bookmarkEnd w:id="103"/>
    <w:bookmarkStart w:id="104" w:name="ref-mclaren_ensembl_2016"/>
    <w:p>
      <w:pPr>
        <w:pStyle w:val="Bibliography"/>
      </w:pPr>
      <w:r>
        <w:t xml:space="preserve">36.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104"/>
    <w:bookmarkStart w:id="105" w:name="ref-r_core_team_r_2019"/>
    <w:p>
      <w:pPr>
        <w:pStyle w:val="Bibliography"/>
      </w:pPr>
      <w:r>
        <w:t xml:space="preserve">37. R Core Team (2019) R: A Language and Environment for Statistical Computing R Foundation for Statistical Computing, Vienna, Austria.</w:t>
      </w:r>
    </w:p>
    <w:bookmarkEnd w:id="105"/>
    <w:bookmarkStart w:id="106" w:name="ref-blenkinsop_human_2015"/>
    <w:p>
      <w:pPr>
        <w:pStyle w:val="Bibliography"/>
      </w:pPr>
      <w:r>
        <w:t xml:space="preserve">38.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106"/>
    <w:bookmarkStart w:id="107" w:name="ref-maruotti_small-moleculedirected_2015"/>
    <w:p>
      <w:pPr>
        <w:pStyle w:val="Bibliography"/>
      </w:pPr>
      <w:r>
        <w:t xml:space="preserve">39. Maruotti,J., Sripathi,S.R., Bharti,K., Fuller,J., Wahlin,K.J., Ranganathan,V., Sluch,V.M., Berlinicke,C.A., Davis,J. and Kim,C.</w:t>
      </w:r>
      <w:r>
        <w:t xml:space="preserve"> </w:t>
      </w:r>
      <w:r>
        <w:rPr>
          <w:i/>
        </w:rPr>
        <w:t xml:space="preserve">et al.</w:t>
      </w:r>
      <w:r>
        <w:t xml:space="preserve"> </w:t>
      </w:r>
      <w:r>
        <w:t xml:space="preserve">(2015) Small-molecule–directed, efficient generation of retinal pigment epithelium from human pluripotent stem cells.</w:t>
      </w:r>
      <w:r>
        <w:t xml:space="preserve"> </w:t>
      </w:r>
      <w:r>
        <w:rPr>
          <w:i/>
        </w:rPr>
        <w:t xml:space="preserve">Proceedings of the National Academy of Sciences</w:t>
      </w:r>
      <w:r>
        <w:t xml:space="preserve">,</w:t>
      </w:r>
      <w:r>
        <w:t xml:space="preserve"> </w:t>
      </w:r>
      <w:r>
        <w:rPr>
          <w:b/>
        </w:rPr>
        <w:t xml:space="preserve">112</w:t>
      </w:r>
      <w:r>
        <w:t xml:space="preserve">, 10950–10955.</w:t>
      </w:r>
    </w:p>
    <w:bookmarkEnd w:id="107"/>
    <w:bookmarkStart w:id="108" w:name="ref-pertea_transcript-level_2016"/>
    <w:p>
      <w:pPr>
        <w:pStyle w:val="Bibliography"/>
      </w:pPr>
      <w:r>
        <w:t xml:space="preserve">40.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108"/>
    <w:bookmarkStart w:id="109" w:name="ref-klimanskaya_derivation_2004"/>
    <w:p>
      <w:pPr>
        <w:pStyle w:val="Bibliography"/>
      </w:pPr>
      <w:r>
        <w:t xml:space="preserve">41.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109"/>
    <w:bookmarkStart w:id="110" w:name="ref-zerbino_ensembl_2018"/>
    <w:p>
      <w:pPr>
        <w:pStyle w:val="Bibliography"/>
      </w:pPr>
      <w:r>
        <w:t xml:space="preserve">42.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110"/>
    <w:bookmarkStart w:id="111" w:name="ref-oleary_reference_2016"/>
    <w:p>
      <w:pPr>
        <w:pStyle w:val="Bibliography"/>
      </w:pPr>
      <w:r>
        <w:t xml:space="preserve">43.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111"/>
    <w:bookmarkStart w:id="112" w:name="ref-landry_complex_2003"/>
    <w:p>
      <w:pPr>
        <w:pStyle w:val="Bibliography"/>
      </w:pPr>
      <w:r>
        <w:t xml:space="preserve">44.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112"/>
    <w:bookmarkStart w:id="113" w:name="ref-tian_alternative_2017"/>
    <w:p>
      <w:pPr>
        <w:pStyle w:val="Bibliography"/>
      </w:pPr>
      <w:r>
        <w:t xml:space="preserve">45.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113"/>
    <w:bookmarkStart w:id="114" w:name="ref-wang_mechanism_2015"/>
    <w:p>
      <w:pPr>
        <w:pStyle w:val="Bibliography"/>
      </w:pPr>
      <w:r>
        <w:t xml:space="preserve">46.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114"/>
    <w:bookmarkStart w:id="115" w:name="ref-takahashi_cage-_2012"/>
    <w:p>
      <w:pPr>
        <w:pStyle w:val="Bibliography"/>
      </w:pPr>
      <w:r>
        <w:t xml:space="preserve">47.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115"/>
    <w:bookmarkStart w:id="116" w:name="ref-beck_3-end_2010"/>
    <w:p>
      <w:pPr>
        <w:pStyle w:val="Bibliography"/>
      </w:pPr>
      <w:r>
        <w:t xml:space="preserve">48.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116"/>
    <w:bookmarkStart w:id="117" w:name="ref-bharti_alternative_2008"/>
    <w:p>
      <w:pPr>
        <w:pStyle w:val="Bibliography"/>
      </w:pPr>
      <w:r>
        <w:t xml:space="preserve">49. Bharti,K., Liu,W., Csermely,T., Bertuzzi,S. and Arnheiter,H. (2008) Alternative promoter use in eye development: Complex role and regulation of the transcription factor MITF.</w:t>
      </w:r>
      <w:r>
        <w:t xml:space="preserve"> </w:t>
      </w:r>
      <w:r>
        <w:rPr>
          <w:i/>
        </w:rPr>
        <w:t xml:space="preserve">Development (Cambridge, England)</w:t>
      </w:r>
      <w:r>
        <w:t xml:space="preserve">,</w:t>
      </w:r>
      <w:r>
        <w:t xml:space="preserve"> </w:t>
      </w:r>
      <w:r>
        <w:rPr>
          <w:b/>
        </w:rPr>
        <w:t xml:space="preserve">135</w:t>
      </w:r>
      <w:r>
        <w:t xml:space="preserve">, 1169–1178.</w:t>
      </w:r>
    </w:p>
    <w:bookmarkEnd w:id="117"/>
    <w:bookmarkStart w:id="118" w:name="ref-mellough_integrated_2019"/>
    <w:p>
      <w:pPr>
        <w:pStyle w:val="Bibliography"/>
      </w:pPr>
      <w:r>
        <w:t xml:space="preserve">50.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118"/>
    <w:bookmarkStart w:id="119" w:name="ref-gorman_cloning_1999"/>
    <w:p>
      <w:pPr>
        <w:pStyle w:val="Bibliography"/>
      </w:pPr>
      <w:r>
        <w:t xml:space="preserve">51.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119"/>
    <w:bookmarkStart w:id="120" w:name="ref-braun_non-exomic_2013"/>
    <w:p>
      <w:pPr>
        <w:pStyle w:val="Bibliography"/>
      </w:pPr>
      <w:r>
        <w:t xml:space="preserve">52. Braun,T.A., Mullins,R.F., Wagner,A.H., Andorf,J.L., Johnston,R.M., Bakall,B.B., Deluca,A.P., Fishman,G.A., Lam,B.L. and Weleber,R.G.</w:t>
      </w:r>
      <w:r>
        <w:t xml:space="preserve"> </w:t>
      </w:r>
      <w:r>
        <w:rPr>
          <w:i/>
        </w:rPr>
        <w:t xml:space="preserve">et al.</w:t>
      </w:r>
      <w:r>
        <w:t xml:space="preserve"> </w:t>
      </w:r>
      <w:r>
        <w:t xml:space="preserve">(2013) Non-exomic and synonymous variants in ABCA4 are an important cause of Stargardt disease.</w:t>
      </w:r>
      <w:r>
        <w:t xml:space="preserve"> </w:t>
      </w:r>
      <w:r>
        <w:rPr>
          <w:i/>
        </w:rPr>
        <w:t xml:space="preserve">Human Molecular Genetics</w:t>
      </w:r>
      <w:r>
        <w:t xml:space="preserve">,</w:t>
      </w:r>
      <w:r>
        <w:t xml:space="preserve"> </w:t>
      </w:r>
      <w:r>
        <w:rPr>
          <w:b/>
        </w:rPr>
        <w:t xml:space="preserve">22</w:t>
      </w:r>
      <w:r>
        <w:t xml:space="preserve">, 5136–5145.</w:t>
      </w:r>
    </w:p>
    <w:bookmarkEnd w:id="120"/>
    <w:bookmarkStart w:id="121" w:name="ref-bauwens_abca4-associated_2019"/>
    <w:p>
      <w:pPr>
        <w:pStyle w:val="Bibliography"/>
      </w:pPr>
      <w:r>
        <w:t xml:space="preserve">53. Bauwens,M., Garanto,A., Sangermano,R., Naessens,S., Weisschuh,N., De Zaeytijd,J., Khan,M., Sadler,F., Balikova,I. and Van Cauwenbergh,C.</w:t>
      </w:r>
      <w:r>
        <w:t xml:space="preserve"> </w:t>
      </w:r>
      <w:r>
        <w:rPr>
          <w:i/>
        </w:rPr>
        <w:t xml:space="preserve">et al.</w:t>
      </w:r>
      <w:r>
        <w:t xml:space="preserve"> </w:t>
      </w:r>
      <w:r>
        <w:t xml:space="preserve">(2019)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w:t>
      </w:r>
      <w:r>
        <w:t xml:space="preserve"> </w:t>
      </w:r>
      <w:r>
        <w:rPr>
          <w:b/>
        </w:rPr>
        <w:t xml:space="preserve">21</w:t>
      </w:r>
      <w:r>
        <w:t xml:space="preserve">, 1761–1771.</w:t>
      </w:r>
    </w:p>
    <w:bookmarkEnd w:id="121"/>
    <w:bookmarkStart w:id="122" w:name="ref-zernant_analysis_2014"/>
    <w:p>
      <w:pPr>
        <w:pStyle w:val="Bibliography"/>
      </w:pPr>
      <w:r>
        <w:t xml:space="preserve">54. Zernant,J., Xie,Y.(., Ayuso,C., Riveiro-Alvarez,R., Lopez-Martinez,M.-A., Simonelli,F., Testa,F., Gorin,M.B., Strom,S.P. and Bertelsen,M.</w:t>
      </w:r>
      <w:r>
        <w:t xml:space="preserve"> </w:t>
      </w:r>
      <w:r>
        <w:rPr>
          <w:i/>
        </w:rPr>
        <w:t xml:space="preserve">et al.</w:t>
      </w:r>
      <w:r>
        <w:t xml:space="preserve"> </w:t>
      </w:r>
      <w:r>
        <w:t xml:space="preserve">(2014) Analysis of the ABCA4 genomic locus in Stargardt disease.</w:t>
      </w:r>
      <w:r>
        <w:t xml:space="preserve"> </w:t>
      </w:r>
      <w:r>
        <w:rPr>
          <w:i/>
        </w:rPr>
        <w:t xml:space="preserve">Human Molecular Genetics</w:t>
      </w:r>
      <w:r>
        <w:t xml:space="preserve">,</w:t>
      </w:r>
      <w:r>
        <w:t xml:space="preserve"> </w:t>
      </w:r>
      <w:r>
        <w:rPr>
          <w:b/>
        </w:rPr>
        <w:t xml:space="preserve">23</w:t>
      </w:r>
      <w:r>
        <w:t xml:space="preserve">, 6797–6806.</w:t>
      </w:r>
    </w:p>
    <w:bookmarkEnd w:id="122"/>
    <w:bookmarkStart w:id="123" w:name="ref-sangermano_deep-intronic_2019"/>
    <w:p>
      <w:pPr>
        <w:pStyle w:val="Bibliography"/>
      </w:pPr>
      <w:r>
        <w:t xml:space="preserve">55. Sangermano,R., Garanto,A., Khan,M., Runhart,E.H., Bauwens,M., Bax,N.M., Born,L.I. van den, Khan,M.I., Cornelis,S.S. and Verheij,J.B.G.M.</w:t>
      </w:r>
      <w:r>
        <w:t xml:space="preserve"> </w:t>
      </w:r>
      <w:r>
        <w:rPr>
          <w:i/>
        </w:rPr>
        <w:t xml:space="preserve">et al.</w:t>
      </w:r>
      <w:r>
        <w:t xml:space="preserve"> </w:t>
      </w:r>
      <w:r>
        <w:t xml:space="preserve">(2019) Deep-intronic ABCA4 variants explain missing heritability in Stargardt disease and allow correction of splice defects by antisense oligonucleotides.</w:t>
      </w:r>
      <w:r>
        <w:t xml:space="preserve"> </w:t>
      </w:r>
      <w:r>
        <w:rPr>
          <w:i/>
        </w:rPr>
        <w:t xml:space="preserve">Genetics in Medicine</w:t>
      </w:r>
      <w:r>
        <w:t xml:space="preserve">,</w:t>
      </w:r>
      <w:r>
        <w:t xml:space="preserve"> </w:t>
      </w:r>
      <w:r>
        <w:rPr>
          <w:b/>
        </w:rPr>
        <w:t xml:space="preserve">21</w:t>
      </w:r>
      <w:r>
        <w:t xml:space="preserve">, 1751–1760.</w:t>
      </w:r>
    </w:p>
    <w:bookmarkEnd w:id="123"/>
    <w:bookmarkStart w:id="124" w:name="ref-jamshidi_contribution_2019"/>
    <w:p>
      <w:pPr>
        <w:pStyle w:val="Bibliography"/>
      </w:pPr>
      <w:r>
        <w:t xml:space="preserve">56. Jamshidi,F., Place,E.M., Mehrotra,S., Navarro-Gomez,D., Maher,M., Branham,K.E., Valkanas,E., Cherry,T.J., Lek,M. and MacArthur,D.</w:t>
      </w:r>
      <w:r>
        <w:t xml:space="preserve"> </w:t>
      </w:r>
      <w:r>
        <w:rPr>
          <w:i/>
        </w:rPr>
        <w:t xml:space="preserve">et al.</w:t>
      </w:r>
      <w:r>
        <w:t xml:space="preserve"> </w:t>
      </w:r>
      <w:r>
        <w:t xml:space="preserve">(2019) Contribution of non-coding mutations to RPGRIP1-mediated inherited retinal degeneration.</w:t>
      </w:r>
      <w:r>
        <w:t xml:space="preserve"> </w:t>
      </w:r>
      <w:r>
        <w:rPr>
          <w:i/>
        </w:rPr>
        <w:t xml:space="preserve">Genetics in medicine : official journal of the American College of Medical Genetics</w:t>
      </w:r>
      <w:r>
        <w:t xml:space="preserve">,</w:t>
      </w:r>
      <w:r>
        <w:t xml:space="preserve"> </w:t>
      </w:r>
      <w:r>
        <w:rPr>
          <w:b/>
        </w:rPr>
        <w:t xml:space="preserve">21</w:t>
      </w:r>
      <w:r>
        <w:t xml:space="preserve">, 694–704.</w:t>
      </w:r>
    </w:p>
    <w:bookmarkEnd w:id="124"/>
    <w:bookmarkStart w:id="125" w:name="ref-mayer_homozygosity_2016"/>
    <w:p>
      <w:pPr>
        <w:pStyle w:val="Bibliography"/>
      </w:pPr>
      <w:r>
        <w:t xml:space="preserve">57. Mayer,A.K., Rohrschneider,K., Strom,T.M., Glöckle,N., Kohl,S., Wissinger,B. and Weisschuh,N. (2016) Homozygosity mapping and whole-genome sequencing reveals a deep intronic PROM1 mutation causing cone–rod dystrophy by pseudoexon activation.</w:t>
      </w:r>
      <w:r>
        <w:t xml:space="preserve"> </w:t>
      </w:r>
      <w:r>
        <w:rPr>
          <w:i/>
        </w:rPr>
        <w:t xml:space="preserve">European Journal of Human Genetics</w:t>
      </w:r>
      <w:r>
        <w:t xml:space="preserve">,</w:t>
      </w:r>
      <w:r>
        <w:t xml:space="preserve"> </w:t>
      </w:r>
      <w:r>
        <w:rPr>
          <w:b/>
        </w:rPr>
        <w:t xml:space="preserve">24</w:t>
      </w:r>
      <w:r>
        <w:t xml:space="preserve">, 459–462.</w:t>
      </w:r>
    </w:p>
    <w:bookmarkEnd w:id="125"/>
    <w:bookmarkStart w:id="126" w:name="ref-geoffroy_whole-genome_2018"/>
    <w:p>
      <w:pPr>
        <w:pStyle w:val="Bibliography"/>
      </w:pPr>
      <w:r>
        <w:t xml:space="preserve">58. Geoffroy,V., Stoetzel,C., Scheidecker,S., Schaefer,E., Perrault,I., Bär,S., Kröll,A., Delbarre,M., Antin,M. and Leuvrey,A.-S.</w:t>
      </w:r>
      <w:r>
        <w:t xml:space="preserve"> </w:t>
      </w:r>
      <w:r>
        <w:rPr>
          <w:i/>
        </w:rPr>
        <w:t xml:space="preserve">et al.</w:t>
      </w:r>
      <w:r>
        <w:t xml:space="preserve"> </w:t>
      </w:r>
      <w:r>
        <w:t xml:space="preserve">(2018) Whole-genome sequencing in patients with ciliopathies uncovers a novel recurrent tandem duplication in IFT140.</w:t>
      </w:r>
      <w:r>
        <w:t xml:space="preserve"> </w:t>
      </w:r>
      <w:r>
        <w:rPr>
          <w:i/>
        </w:rPr>
        <w:t xml:space="preserve">Human Mutation</w:t>
      </w:r>
      <w:r>
        <w:t xml:space="preserve">,</w:t>
      </w:r>
      <w:r>
        <w:t xml:space="preserve"> </w:t>
      </w:r>
      <w:r>
        <w:rPr>
          <w:b/>
        </w:rPr>
        <w:t xml:space="preserve">39</w:t>
      </w:r>
      <w:r>
        <w:t xml:space="preserve">, 983–992.</w:t>
      </w:r>
    </w:p>
    <w:bookmarkEnd w:id="126"/>
    <w:bookmarkStart w:id="127" w:name="ref-lenis_expression_2018"/>
    <w:p>
      <w:pPr>
        <w:pStyle w:val="Bibliography"/>
      </w:pPr>
      <w:r>
        <w:t xml:space="preserve">59. Lenis,T.L., Hu,J., Ng,S.Y., Jiang,Z., Sarfare,S., Lloyd,M.B., Esposito,N.J., Samuel,W., Jaworski,C. and Bok,D.</w:t>
      </w:r>
      <w:r>
        <w:t xml:space="preserve"> </w:t>
      </w:r>
      <w:r>
        <w:rPr>
          <w:i/>
        </w:rPr>
        <w:t xml:space="preserve">et al.</w:t>
      </w:r>
      <w:r>
        <w:t xml:space="preserve"> </w:t>
      </w:r>
      <w:r>
        <w:t xml:space="preserve">(2018) Expression of ABCA4 in the retinal pigment epithelium and its implications for Stargardt macular degeneration.</w:t>
      </w:r>
      <w:r>
        <w:t xml:space="preserve"> </w:t>
      </w:r>
      <w:r>
        <w:rPr>
          <w:i/>
        </w:rPr>
        <w:t xml:space="preserve">Proceedings of the National Academy of Sciences</w:t>
      </w:r>
      <w:r>
        <w:t xml:space="preserve">,</w:t>
      </w:r>
      <w:r>
        <w:t xml:space="preserve"> </w:t>
      </w:r>
      <w:r>
        <w:rPr>
          <w:b/>
        </w:rPr>
        <w:t xml:space="preserve">115</w:t>
      </w:r>
      <w:r>
        <w:t xml:space="preserve">, E11120–E11127.</w:t>
      </w:r>
    </w:p>
    <w:bookmarkEnd w:id="127"/>
    <w:bookmarkStart w:id="128" w:name="ref-reyes_alternative_2018"/>
    <w:p>
      <w:pPr>
        <w:pStyle w:val="Bibliography"/>
      </w:pPr>
      <w:r>
        <w:t xml:space="preserve">60.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128"/>
    <w:bookmarkStart w:id="129" w:name="ref-yan_cell_2020"/>
    <w:p>
      <w:pPr>
        <w:pStyle w:val="Bibliography"/>
      </w:pPr>
      <w:r>
        <w:t xml:space="preserve">61.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129"/>
    <w:bookmarkEnd w:id="130"/>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hyperlink" Id="rId46" Target="https://blueprintgenetics.com/tests/panels/ophthalmology/retinal-dystrophy-panel/" TargetMode="External" /><Relationship Type="http://schemas.openxmlformats.org/officeDocument/2006/relationships/hyperlink" Id="rId38" Target="https://fantom.gsc.riken.jp/5/datafiles/reprocessed/hg38_latest/extra/CAGE_peaks/hg38_fair+new_CAGE_peaks_phase1and2.bed.gz" TargetMode="External" /><Relationship Type="http://schemas.openxmlformats.org/officeDocument/2006/relationships/hyperlink" Id="rId31" Target="https://github.com/ENCODE-DCC/long-read-rna-pipeline" TargetMode="External" /><Relationship Type="http://schemas.openxmlformats.org/officeDocument/2006/relationships/hyperlink" Id="rId41" Target="https://github.com/NBISweden/AGAT/" TargetMode="External" /><Relationship Type="http://schemas.openxmlformats.org/officeDocument/2006/relationships/hyperlink" Id="rId43" Target="https://github.com/krassowski/complex-upset" TargetMode="External" /><Relationship Type="http://schemas.openxmlformats.org/officeDocument/2006/relationships/hyperlink" Id="rId27" Target="https://github.com/vinay-swamy/ocular_transcriptomes_longread_analysis" TargetMode="External" /><Relationship Type="http://schemas.openxmlformats.org/officeDocument/2006/relationships/hyperlink" Id="rId28" Target="https://github.com/vinay-swamy/ocular_transcriptomes_paper" TargetMode="External" /><Relationship Type="http://schemas.openxmlformats.org/officeDocument/2006/relationships/hyperlink" Id="rId26" Target="https://github.com/vinay-swamy/ocular_transcriptomes_pipeline" TargetMode="External" /><Relationship Type="http://schemas.openxmlformats.org/officeDocument/2006/relationships/hyperlink" Id="rId29" Target="https://github.com/vinay-swamy/ocular_transcriptomes_shiny" TargetMode="External" /><Relationship Type="http://schemas.openxmlformats.org/officeDocument/2006/relationships/hyperlink" Id="rId39" Target="https://polyasite.unibas.ch/download/atlas/2.0/GRCh38.96/atlas.clusters.2.0.GRCh38.96.bed.gz" TargetMode="External" /><Relationship Type="http://schemas.openxmlformats.org/officeDocument/2006/relationships/hyperlink" Id="rId32" Target="https://www.encodeproject.org/files/ENCFF911UGW/" TargetMode="External" /></Relationships>
</file>

<file path=word/_rels/footnotes.xml.rels><?xml version="1.0" encoding="UTF-8"?>
<Relationships xmlns="http://schemas.openxmlformats.org/package/2006/relationships"><Relationship Type="http://schemas.openxmlformats.org/officeDocument/2006/relationships/hyperlink" Id="rId46" Target="https://blueprintgenetics.com/tests/panels/ophthalmology/retinal-dystrophy-panel/" TargetMode="External" /><Relationship Type="http://schemas.openxmlformats.org/officeDocument/2006/relationships/hyperlink" Id="rId38" Target="https://fantom.gsc.riken.jp/5/datafiles/reprocessed/hg38_latest/extra/CAGE_peaks/hg38_fair+new_CAGE_peaks_phase1and2.bed.gz" TargetMode="External" /><Relationship Type="http://schemas.openxmlformats.org/officeDocument/2006/relationships/hyperlink" Id="rId31" Target="https://github.com/ENCODE-DCC/long-read-rna-pipeline" TargetMode="External" /><Relationship Type="http://schemas.openxmlformats.org/officeDocument/2006/relationships/hyperlink" Id="rId41" Target="https://github.com/NBISweden/AGAT/" TargetMode="External" /><Relationship Type="http://schemas.openxmlformats.org/officeDocument/2006/relationships/hyperlink" Id="rId43" Target="https://github.com/krassowski/complex-upset" TargetMode="External" /><Relationship Type="http://schemas.openxmlformats.org/officeDocument/2006/relationships/hyperlink" Id="rId27" Target="https://github.com/vinay-swamy/ocular_transcriptomes_longread_analysis" TargetMode="External" /><Relationship Type="http://schemas.openxmlformats.org/officeDocument/2006/relationships/hyperlink" Id="rId28" Target="https://github.com/vinay-swamy/ocular_transcriptomes_paper" TargetMode="External" /><Relationship Type="http://schemas.openxmlformats.org/officeDocument/2006/relationships/hyperlink" Id="rId26" Target="https://github.com/vinay-swamy/ocular_transcriptomes_pipeline" TargetMode="External" /><Relationship Type="http://schemas.openxmlformats.org/officeDocument/2006/relationships/hyperlink" Id="rId29" Target="https://github.com/vinay-swamy/ocular_transcriptomes_shiny" TargetMode="External" /><Relationship Type="http://schemas.openxmlformats.org/officeDocument/2006/relationships/hyperlink" Id="rId39" Target="https://polyasite.unibas.ch/download/atlas/2.0/GRCh38.96/atlas.clusters.2.0.GRCh38.96.bed.gz" TargetMode="External" /><Relationship Type="http://schemas.openxmlformats.org/officeDocument/2006/relationships/hyperlink" Id="rId32" Target="https://www.encodeproject.org/files/ENCFF911UG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short read de novo transcriptome pipeline optimized by long reads reveals novel developmentally regulated gene isoforms and disease targets in hundreds of eye samples</dc:title>
  <dc:creator>Vinay Swamy1, Temesgen Fufa2, Robert Hufnagel2, and David McGaughey1</dc:creator>
  <cp:keywords/>
  <dcterms:created xsi:type="dcterms:W3CDTF">2020-08-19T19:24:40Z</dcterms:created>
  <dcterms:modified xsi:type="dcterms:W3CDTF">2020-08-19T19:24:40Z</dcterms:modified>
</cp:coreProperties>
</file>