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Equity Research Note — Industrial Automation Sector</w:t>
      </w:r>
    </w:p>
    <w:p>
      <w:r>
        <w:rPr>
          <w:i/>
          <w:iCs/>
        </w:rPr>
        <w:t xml:space="preserve">Nimbus Robotics, Inc. (NASDAQ: NMBR) vs. Solace Dynamics Corp. (NYSE: SLDC) — Comparative Analysis</w:t>
      </w:r>
    </w:p>
    <w:p>
      <w:r>
        <w:rPr>
          <w:i/>
          <w:iCs/>
        </w:rPr>
        <w:t xml:space="preserve">Analyst: J. Whitfield, Senior Analyst — Industrial Technology | July 2026</w:t>
      </w:r>
    </w:p>
    <w:p/>
    <w:p>
      <w:pPr>
        <w:pStyle w:val="Heading1"/>
      </w:pPr>
      <w:r>
        <w:t xml:space="preserve">Summary</w:t>
      </w:r>
    </w:p>
    <w:p>
      <w:r>
        <w:t xml:space="preserve">Both Nimbus Robotics (NMBR) and Solace Dynamics (SLDC) compete in the collaborative and industrial robotics market. NMBR has posted stronger top-line growth over the trailing four quarters but has seen more pronounced margin compression from input cost inflation. SLDC has grown more slowly but maintained tighter cost discipline and a materially lower leverage profile.</w:t>
      </w:r>
    </w:p>
    <w:p>
      <w:pPr>
        <w:pStyle w:val="Heading1"/>
      </w:pPr>
      <w:r>
        <w:t xml:space="preserve">Margin &amp; Profitability Comparison</w:t>
      </w:r>
    </w:p>
    <w:p>
      <w:r>
        <w:t xml:space="preserve">NMBR's gross margin fell from 43.7% to 38.2% year-over-year in Q2 2026, driven by steel and semiconductor input cost inflation of roughly 21%. SLDC's gross margin declined more modestly, from 41.0% to 39.1% over the same period, as SLDC had already diversified its component sourcing across three geographies in 2024, reducing its exposure to any single supplier price shock.</w:t>
      </w:r>
    </w:p>
    <w:p>
      <w:pPr>
        <w:pStyle w:val="Heading1"/>
      </w:pPr>
      <w:r>
        <w:t xml:space="preserve">Leverage &amp; Liquidity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80"/>
            <w:shd w:fill="D9D9D9" w:val="clear"/>
          </w:tcPr>
          <w:p>
            <w:r>
              <w:rPr>
                <w:b/>
                <w:bCs/>
              </w:rPr>
              <w:t xml:space="preserve">NMBR (Q2 2026)</w:t>
            </w:r>
          </w:p>
        </w:tc>
        <w:tc>
          <w:tcPr>
            <w:tcW w:type="dxa" w:w="3180"/>
            <w:shd w:fill="D9D9D9" w:val="clear"/>
          </w:tcPr>
          <w:p>
            <w:r>
              <w:rPr>
                <w:b/>
                <w:bCs/>
              </w:rPr>
              <w:t xml:space="preserve">SLDC (Q2 2026)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Debt-to-Equity</w:t>
            </w:r>
          </w:p>
        </w:tc>
        <w:tc>
          <w:tcPr>
            <w:tcW w:type="dxa" w:w="3180"/>
          </w:tcPr>
          <w:p>
            <w:r>
              <w:rPr>
                <w:b w:val="false"/>
                <w:bCs w:val="false"/>
              </w:rPr>
              <w:t xml:space="preserve">1.23x</w:t>
            </w:r>
          </w:p>
        </w:tc>
        <w:tc>
          <w:tcPr>
            <w:tcW w:type="dxa" w:w="3180"/>
          </w:tcPr>
          <w:p>
            <w:r>
              <w:rPr>
                <w:b w:val="false"/>
                <w:bCs w:val="false"/>
              </w:rPr>
              <w:t xml:space="preserve">0.58x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Current Ratio</w:t>
            </w:r>
          </w:p>
        </w:tc>
        <w:tc>
          <w:tcPr>
            <w:tcW w:type="dxa" w:w="3180"/>
          </w:tcPr>
          <w:p>
            <w:r>
              <w:rPr>
                <w:b w:val="false"/>
                <w:bCs w:val="false"/>
              </w:rPr>
              <w:t xml:space="preserve">1.4x</w:t>
            </w:r>
          </w:p>
        </w:tc>
        <w:tc>
          <w:tcPr>
            <w:tcW w:type="dxa" w:w="3180"/>
          </w:tcPr>
          <w:p>
            <w:r>
              <w:rPr>
                <w:b w:val="false"/>
                <w:bCs w:val="false"/>
              </w:rPr>
              <w:t xml:space="preserve">2.1x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Interest Coverage</w:t>
            </w:r>
          </w:p>
        </w:tc>
        <w:tc>
          <w:tcPr>
            <w:tcW w:type="dxa" w:w="3180"/>
          </w:tcPr>
          <w:p>
            <w:r>
              <w:rPr>
                <w:b w:val="false"/>
                <w:bCs w:val="false"/>
              </w:rPr>
              <w:t xml:space="preserve">4.8x</w:t>
            </w:r>
          </w:p>
        </w:tc>
        <w:tc>
          <w:tcPr>
            <w:tcW w:type="dxa" w:w="3180"/>
          </w:tcPr>
          <w:p>
            <w:r>
              <w:rPr>
                <w:b w:val="false"/>
                <w:bCs w:val="false"/>
              </w:rPr>
              <w:t xml:space="preserve">9.6x</w:t>
            </w:r>
          </w:p>
        </w:tc>
      </w:tr>
    </w:tbl>
    <w:p/>
    <w:p>
      <w:r>
        <w:t xml:space="preserve">SLDC carries substantially lower leverage and higher interest coverage, giving it more balance-sheet flexibility to absorb further input cost shocks without needing to draw additional revolver capacity. NMBR's debt-to-equity ratio rose from 0.94x to 1.23x over the past year specifically because it drew on its revolving credit facility to fund inventory build ahead of anticipated further cost increases — a deliberate but risk-increasing choice, not a result of declining equity value.</w:t>
      </w:r>
    </w:p>
    <w:p>
      <w:pPr>
        <w:pStyle w:val="Heading1"/>
      </w:pPr>
      <w:r>
        <w:t xml:space="preserve">Growth &amp; Valuation</w:t>
      </w:r>
    </w:p>
    <w:p>
      <w:r>
        <w:t xml:space="preserve">NMBR trades at a forward P/E of 18.4x on trailing four-quarter revenue growth of approximately 8.9%. SLDC trades at a forward P/E of 15.1x on trailing four-quarter revenue growth of approximately 5.2%. On a pure growth basis NMBR appears more attractively priced relative to its growth rate, but this does not fully account for NMBR's higher leverage and greater margin volatility — two factors that increase the risk premium a rational investor should apply to NMBR's earnings relative to SLDC's.</w:t>
      </w:r>
    </w:p>
    <w:p>
      <w:r>
        <w:t xml:space="preserve">Notably, higher revenue growth alone has not translated into higher relative valuation multiples for NMBR versus SLDC on a risk-adjusted basis: NMBR's stock is up only 3% over the trailing twelve months despite faster revenue growth, while SLDC's stock is up 11%, reflecting the market's discounting of NMBR's margin and leverage trajectory.</w:t>
      </w:r>
    </w:p>
    <w:p>
      <w:pPr>
        <w:pStyle w:val="Heading1"/>
      </w:pPr>
      <w:r>
        <w:t xml:space="preserve">Recommendation</w:t>
      </w:r>
    </w:p>
    <w:p>
      <w:r>
        <w:t xml:space="preserve">We rate NMBR Neutral and SLDC Outperform. Investors seeking growth exposure to the robotics sector with lower balance-sheet risk should favor SLDC. NMBR remains a reasonable holding for investors with higher risk tolerance who believe management's supplier-diversification and fixed-price steel contract actions will restore gross margin by fiscal 2027.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2026-08-08T04:54:35.249Z</dcterms:created>
  <dcterms:modified xsi:type="dcterms:W3CDTF">2026-08-08T04:54:35.249Z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