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BDB"/>
          <w:sz w:val="68"/>
        </w:rPr>
        <w:t>PACKSURE AI</w:t>
      </w:r>
    </w:p>
    <w:p>
      <w:pPr>
        <w:jc w:val="center"/>
      </w:pPr>
      <w:r>
        <w:rPr>
          <w:b/>
          <w:sz w:val="34"/>
        </w:rPr>
        <w:t>App Design &amp; UI/UX Specification</w:t>
      </w:r>
    </w:p>
    <w:p>
      <w:pPr>
        <w:jc w:val="center"/>
      </w:pPr>
      <w:r>
        <w:rPr>
          <w:i/>
          <w:color w:val="0F766E"/>
          <w:sz w:val="26"/>
        </w:rPr>
        <w:t>Scan. Verify. Comply.</w:t>
      </w:r>
    </w:p>
    <w:tbl>
      <w:tblPr>
        <w:tblW w:type="auto" w:w="0"/>
        <w:jc w:val="center"/>
        <w:tblLook w:firstColumn="1" w:firstRow="1" w:lastColumn="0" w:lastRow="0" w:noHBand="0" w:noVBand="1" w:val="04A0"/>
      </w:tblPr>
      <w:tblGrid>
        <w:gridCol w:w="5256"/>
        <w:gridCol w:w="5256"/>
      </w:tblGrid>
      <w:tr>
        <w:tc>
          <w:tcPr>
            <w:tcW w:type="dxa" w:w="5256"/>
            <w:shd w:fill="18203A"/>
            <w:vAlign w:val="center"/>
          </w:tcPr>
          <w:p>
            <w:r/>
            <w:r>
              <w:rPr>
                <w:b/>
                <w:color w:val="FFFFFF"/>
                <w:sz w:val="17"/>
              </w:rPr>
              <w:t>Item</w:t>
            </w:r>
          </w:p>
        </w:tc>
        <w:tc>
          <w:tcPr>
            <w:tcW w:type="dxa" w:w="5256"/>
            <w:shd w:fill="18203A"/>
            <w:vAlign w:val="center"/>
          </w:tcPr>
          <w:p>
            <w:r/>
            <w:r>
              <w:rPr>
                <w:b/>
                <w:color w:val="FFFFFF"/>
                <w:sz w:val="17"/>
              </w:rPr>
              <w:t>Specification</w:t>
            </w:r>
          </w:p>
        </w:tc>
      </w:tr>
      <w:tr>
        <w:tc>
          <w:tcPr>
            <w:tcW w:type="dxa" w:w="5256"/>
            <w:shd w:fill="EEF2FF"/>
            <w:vAlign w:val="center"/>
          </w:tcPr>
          <w:p>
            <w:r/>
            <w:r>
              <w:rPr>
                <w:b/>
                <w:color w:val="243BDB"/>
                <w:sz w:val="17"/>
              </w:rPr>
              <w:t>Product</w:t>
            </w:r>
          </w:p>
        </w:tc>
        <w:tc>
          <w:tcPr>
            <w:tcW w:type="dxa" w:w="5256"/>
            <w:shd w:fill="F8FAFC"/>
            <w:vAlign w:val="center"/>
          </w:tcPr>
          <w:p>
            <w:r/>
            <w:r>
              <w:rPr>
                <w:b w:val="0"/>
                <w:sz w:val="17"/>
              </w:rPr>
              <w:t>AI-assisted packaging compliance screening platform</w:t>
            </w:r>
          </w:p>
        </w:tc>
      </w:tr>
      <w:tr>
        <w:tc>
          <w:tcPr>
            <w:tcW w:type="dxa" w:w="5256"/>
            <w:shd w:fill="EEF2FF"/>
            <w:vAlign w:val="center"/>
          </w:tcPr>
          <w:p>
            <w:r/>
            <w:r>
              <w:rPr>
                <w:b/>
                <w:color w:val="243BDB"/>
                <w:sz w:val="17"/>
              </w:rPr>
              <w:t>Platform</w:t>
            </w:r>
          </w:p>
        </w:tc>
        <w:tc>
          <w:tcPr>
            <w:tcW w:type="dxa" w:w="5256"/>
            <w:shd w:fill="F8FAFC"/>
            <w:vAlign w:val="center"/>
          </w:tcPr>
          <w:p>
            <w:r/>
            <w:r>
              <w:rPr>
                <w:b w:val="0"/>
                <w:sz w:val="17"/>
              </w:rPr>
              <w:t>Responsive Web App — Desktop, Tablet &amp; Mobile</w:t>
            </w:r>
          </w:p>
        </w:tc>
      </w:tr>
      <w:tr>
        <w:tc>
          <w:tcPr>
            <w:tcW w:type="dxa" w:w="5256"/>
            <w:shd w:fill="EEF2FF"/>
            <w:vAlign w:val="center"/>
          </w:tcPr>
          <w:p>
            <w:r/>
            <w:r>
              <w:rPr>
                <w:b/>
                <w:color w:val="243BDB"/>
                <w:sz w:val="17"/>
              </w:rPr>
              <w:t>Users</w:t>
            </w:r>
          </w:p>
        </w:tc>
        <w:tc>
          <w:tcPr>
            <w:tcW w:type="dxa" w:w="5256"/>
            <w:shd w:fill="F8FAFC"/>
            <w:vAlign w:val="center"/>
          </w:tcPr>
          <w:p>
            <w:r/>
            <w:r>
              <w:rPr>
                <w:b w:val="0"/>
                <w:sz w:val="17"/>
              </w:rPr>
              <w:t>Manufacturers, retailers, compliance teams, inspectors</w:t>
            </w:r>
          </w:p>
        </w:tc>
      </w:tr>
      <w:tr>
        <w:tc>
          <w:tcPr>
            <w:tcW w:type="dxa" w:w="5256"/>
            <w:shd w:fill="EEF2FF"/>
            <w:vAlign w:val="center"/>
          </w:tcPr>
          <w:p>
            <w:r/>
            <w:r>
              <w:rPr>
                <w:b/>
                <w:color w:val="243BDB"/>
                <w:sz w:val="17"/>
              </w:rPr>
              <w:t>Design goal</w:t>
            </w:r>
          </w:p>
        </w:tc>
        <w:tc>
          <w:tcPr>
            <w:tcW w:type="dxa" w:w="5256"/>
            <w:shd w:fill="F8FAFC"/>
            <w:vAlign w:val="center"/>
          </w:tcPr>
          <w:p>
            <w:r/>
            <w:r>
              <w:rPr>
                <w:b w:val="0"/>
                <w:sz w:val="17"/>
              </w:rPr>
              <w:t>Simple for first-time users; powerful for professional workflows</w:t>
            </w:r>
          </w:p>
        </w:tc>
      </w:tr>
    </w:tbl>
    <w:p>
      <w:pPr>
        <w:pStyle w:val="Heading1"/>
      </w:pPr>
      <w:r>
        <w:t>1. Design Vision</w:t>
      </w:r>
    </w:p>
    <w:p>
      <w:r>
        <w:t>PackSure AI should feel like a premium modern AI SaaS product—not a complicated government form. The main action, scanning a product, must always be obvious. Results should be visual, explainable and trustworthy.</w:t>
      </w:r>
    </w:p>
    <w:p>
      <w:pPr>
        <w:pStyle w:val="ListBullet"/>
        <w:spacing w:after="20"/>
      </w:pPr>
      <w:r>
        <w:t>User-first: minimum clicks and technical jargon.</w:t>
      </w:r>
    </w:p>
    <w:p>
      <w:pPr>
        <w:pStyle w:val="ListBullet"/>
        <w:spacing w:after="20"/>
      </w:pPr>
      <w:r>
        <w:t>Visual-first: product image and findings are the hero.</w:t>
      </w:r>
    </w:p>
    <w:p>
      <w:pPr>
        <w:pStyle w:val="ListBullet"/>
        <w:spacing w:after="20"/>
      </w:pPr>
      <w:r>
        <w:t>Explainable AI: show status, confidence, evidence and regulatory source.</w:t>
      </w:r>
    </w:p>
    <w:p>
      <w:pPr>
        <w:pStyle w:val="ListBullet"/>
        <w:spacing w:after="20"/>
      </w:pPr>
      <w:r>
        <w:t>Progressive disclosure: summary first, technical detail on demand.</w:t>
      </w:r>
    </w:p>
    <w:p>
      <w:pPr>
        <w:pStyle w:val="ListBullet"/>
        <w:spacing w:after="20"/>
      </w:pPr>
      <w:r>
        <w:t>Trustworthy: clearly distinguish Pass / Needs Review / Potential Issue.</w:t>
      </w:r>
    </w:p>
    <w:p>
      <w:pPr>
        <w:pStyle w:val="ListBullet"/>
        <w:spacing w:after="20"/>
      </w:pPr>
      <w:r>
        <w:t>Responsive: core workflow works on mobile.</w:t>
      </w:r>
    </w:p>
    <w:p>
      <w:pPr>
        <w:pStyle w:val="ListBullet"/>
        <w:spacing w:after="20"/>
      </w:pPr>
      <w:r>
        <w:t>Dynamic: live scan progress, animated score, interactive heatmap and useful micro-interactions.</w:t>
      </w:r>
    </w:p>
    <w:p>
      <w:pPr>
        <w:pStyle w:val="Heading1"/>
      </w:pPr>
      <w:r>
        <w:t>2. Visual Design System</w:t>
      </w:r>
    </w:p>
    <w:tbl>
      <w:tblPr>
        <w:tblW w:type="auto" w:w="0"/>
        <w:jc w:val="center"/>
        <w:tblLook w:firstColumn="1" w:firstRow="1" w:lastColumn="0" w:lastRow="0" w:noHBand="0" w:noVBand="1" w:val="04A0"/>
      </w:tblPr>
      <w:tblGrid>
        <w:gridCol w:w="3504"/>
        <w:gridCol w:w="3504"/>
        <w:gridCol w:w="3504"/>
      </w:tblGrid>
      <w:tr>
        <w:tc>
          <w:tcPr>
            <w:tcW w:type="dxa" w:w="3504"/>
            <w:shd w:fill="18203A"/>
            <w:vAlign w:val="center"/>
          </w:tcPr>
          <w:p>
            <w:r/>
            <w:r>
              <w:rPr>
                <w:b/>
                <w:color w:val="FFFFFF"/>
                <w:sz w:val="17"/>
              </w:rPr>
              <w:t>Token</w:t>
            </w:r>
          </w:p>
        </w:tc>
        <w:tc>
          <w:tcPr>
            <w:tcW w:type="dxa" w:w="3504"/>
            <w:shd w:fill="18203A"/>
            <w:vAlign w:val="center"/>
          </w:tcPr>
          <w:p>
            <w:r/>
            <w:r>
              <w:rPr>
                <w:b/>
                <w:color w:val="FFFFFF"/>
                <w:sz w:val="17"/>
              </w:rPr>
              <w:t>Value</w:t>
            </w:r>
          </w:p>
        </w:tc>
        <w:tc>
          <w:tcPr>
            <w:tcW w:type="dxa" w:w="3504"/>
            <w:shd w:fill="18203A"/>
            <w:vAlign w:val="center"/>
          </w:tcPr>
          <w:p>
            <w:r/>
            <w:r>
              <w:rPr>
                <w:b/>
                <w:color w:val="FFFFFF"/>
                <w:sz w:val="17"/>
              </w:rPr>
              <w:t>Use</w:t>
            </w:r>
          </w:p>
        </w:tc>
      </w:tr>
      <w:tr>
        <w:tc>
          <w:tcPr>
            <w:tcW w:type="dxa" w:w="3504"/>
            <w:shd w:fill="EEF2FF"/>
            <w:vAlign w:val="center"/>
          </w:tcPr>
          <w:p>
            <w:r/>
            <w:r>
              <w:rPr>
                <w:b/>
                <w:color w:val="243BDB"/>
                <w:sz w:val="17"/>
              </w:rPr>
              <w:t>Primary</w:t>
            </w:r>
          </w:p>
        </w:tc>
        <w:tc>
          <w:tcPr>
            <w:tcW w:type="dxa" w:w="3504"/>
            <w:shd w:fill="F8FAFC"/>
            <w:vAlign w:val="center"/>
          </w:tcPr>
          <w:p>
            <w:r/>
            <w:r>
              <w:rPr>
                <w:b w:val="0"/>
                <w:sz w:val="17"/>
              </w:rPr>
              <w:t>#243BDB</w:t>
            </w:r>
          </w:p>
        </w:tc>
        <w:tc>
          <w:tcPr>
            <w:tcW w:type="dxa" w:w="3504"/>
            <w:shd w:fill="F8FAFC"/>
            <w:vAlign w:val="center"/>
          </w:tcPr>
          <w:p>
            <w:r/>
            <w:r>
              <w:rPr>
                <w:b w:val="0"/>
                <w:sz w:val="17"/>
              </w:rPr>
              <w:t>Primary CTA, active navigation</w:t>
            </w:r>
          </w:p>
        </w:tc>
      </w:tr>
      <w:tr>
        <w:tc>
          <w:tcPr>
            <w:tcW w:type="dxa" w:w="3504"/>
            <w:shd w:fill="EEF2FF"/>
            <w:vAlign w:val="center"/>
          </w:tcPr>
          <w:p>
            <w:r/>
            <w:r>
              <w:rPr>
                <w:b/>
                <w:color w:val="243BDB"/>
                <w:sz w:val="17"/>
              </w:rPr>
              <w:t>AI Accent</w:t>
            </w:r>
          </w:p>
        </w:tc>
        <w:tc>
          <w:tcPr>
            <w:tcW w:type="dxa" w:w="3504"/>
            <w:shd w:fill="F8FAFC"/>
            <w:vAlign w:val="center"/>
          </w:tcPr>
          <w:p>
            <w:r/>
            <w:r>
              <w:rPr>
                <w:b w:val="0"/>
                <w:sz w:val="17"/>
              </w:rPr>
              <w:t>#7C3AED</w:t>
            </w:r>
          </w:p>
        </w:tc>
        <w:tc>
          <w:tcPr>
            <w:tcW w:type="dxa" w:w="3504"/>
            <w:shd w:fill="F8FAFC"/>
            <w:vAlign w:val="center"/>
          </w:tcPr>
          <w:p>
            <w:r/>
            <w:r>
              <w:rPr>
                <w:b w:val="0"/>
                <w:sz w:val="17"/>
              </w:rPr>
              <w:t>AI assistant, RAG and AI states</w:t>
            </w:r>
          </w:p>
        </w:tc>
      </w:tr>
      <w:tr>
        <w:tc>
          <w:tcPr>
            <w:tcW w:type="dxa" w:w="3504"/>
            <w:shd w:fill="EEF2FF"/>
            <w:vAlign w:val="center"/>
          </w:tcPr>
          <w:p>
            <w:r/>
            <w:r>
              <w:rPr>
                <w:b/>
                <w:color w:val="243BDB"/>
                <w:sz w:val="17"/>
              </w:rPr>
              <w:t>Success</w:t>
            </w:r>
          </w:p>
        </w:tc>
        <w:tc>
          <w:tcPr>
            <w:tcW w:type="dxa" w:w="3504"/>
            <w:shd w:fill="F8FAFC"/>
            <w:vAlign w:val="center"/>
          </w:tcPr>
          <w:p>
            <w:r/>
            <w:r>
              <w:rPr>
                <w:b w:val="0"/>
                <w:sz w:val="17"/>
              </w:rPr>
              <w:t>#16A34A</w:t>
            </w:r>
          </w:p>
        </w:tc>
        <w:tc>
          <w:tcPr>
            <w:tcW w:type="dxa" w:w="3504"/>
            <w:shd w:fill="F8FAFC"/>
            <w:vAlign w:val="center"/>
          </w:tcPr>
          <w:p>
            <w:r/>
            <w:r>
              <w:rPr>
                <w:b w:val="0"/>
                <w:sz w:val="17"/>
              </w:rPr>
              <w:t>Pass</w:t>
            </w:r>
          </w:p>
        </w:tc>
      </w:tr>
      <w:tr>
        <w:tc>
          <w:tcPr>
            <w:tcW w:type="dxa" w:w="3504"/>
            <w:shd w:fill="EEF2FF"/>
            <w:vAlign w:val="center"/>
          </w:tcPr>
          <w:p>
            <w:r/>
            <w:r>
              <w:rPr>
                <w:b/>
                <w:color w:val="243BDB"/>
                <w:sz w:val="17"/>
              </w:rPr>
              <w:t>Warning</w:t>
            </w:r>
          </w:p>
        </w:tc>
        <w:tc>
          <w:tcPr>
            <w:tcW w:type="dxa" w:w="3504"/>
            <w:shd w:fill="F8FAFC"/>
            <w:vAlign w:val="center"/>
          </w:tcPr>
          <w:p>
            <w:r/>
            <w:r>
              <w:rPr>
                <w:b w:val="0"/>
                <w:sz w:val="17"/>
              </w:rPr>
              <w:t>#F59E0B</w:t>
            </w:r>
          </w:p>
        </w:tc>
        <w:tc>
          <w:tcPr>
            <w:tcW w:type="dxa" w:w="3504"/>
            <w:shd w:fill="F8FAFC"/>
            <w:vAlign w:val="center"/>
          </w:tcPr>
          <w:p>
            <w:r/>
            <w:r>
              <w:rPr>
                <w:b w:val="0"/>
                <w:sz w:val="17"/>
              </w:rPr>
              <w:t>Needs Review</w:t>
            </w:r>
          </w:p>
        </w:tc>
      </w:tr>
      <w:tr>
        <w:tc>
          <w:tcPr>
            <w:tcW w:type="dxa" w:w="3504"/>
            <w:shd w:fill="EEF2FF"/>
            <w:vAlign w:val="center"/>
          </w:tcPr>
          <w:p>
            <w:r/>
            <w:r>
              <w:rPr>
                <w:b/>
                <w:color w:val="243BDB"/>
                <w:sz w:val="17"/>
              </w:rPr>
              <w:t>Issue</w:t>
            </w:r>
          </w:p>
        </w:tc>
        <w:tc>
          <w:tcPr>
            <w:tcW w:type="dxa" w:w="3504"/>
            <w:shd w:fill="F8FAFC"/>
            <w:vAlign w:val="center"/>
          </w:tcPr>
          <w:p>
            <w:r/>
            <w:r>
              <w:rPr>
                <w:b w:val="0"/>
                <w:sz w:val="17"/>
              </w:rPr>
              <w:t>#DC2626</w:t>
            </w:r>
          </w:p>
        </w:tc>
        <w:tc>
          <w:tcPr>
            <w:tcW w:type="dxa" w:w="3504"/>
            <w:shd w:fill="F8FAFC"/>
            <w:vAlign w:val="center"/>
          </w:tcPr>
          <w:p>
            <w:r/>
            <w:r>
              <w:rPr>
                <w:b w:val="0"/>
                <w:sz w:val="17"/>
              </w:rPr>
              <w:t>Potential Issue</w:t>
            </w:r>
          </w:p>
        </w:tc>
      </w:tr>
      <w:tr>
        <w:tc>
          <w:tcPr>
            <w:tcW w:type="dxa" w:w="3504"/>
            <w:shd w:fill="EEF2FF"/>
            <w:vAlign w:val="center"/>
          </w:tcPr>
          <w:p>
            <w:r/>
            <w:r>
              <w:rPr>
                <w:b/>
                <w:color w:val="243BDB"/>
                <w:sz w:val="17"/>
              </w:rPr>
              <w:t>Background</w:t>
            </w:r>
          </w:p>
        </w:tc>
        <w:tc>
          <w:tcPr>
            <w:tcW w:type="dxa" w:w="3504"/>
            <w:shd w:fill="F8FAFC"/>
            <w:vAlign w:val="center"/>
          </w:tcPr>
          <w:p>
            <w:r/>
            <w:r>
              <w:rPr>
                <w:b w:val="0"/>
                <w:sz w:val="17"/>
              </w:rPr>
              <w:t>#F8FAFC</w:t>
            </w:r>
          </w:p>
        </w:tc>
        <w:tc>
          <w:tcPr>
            <w:tcW w:type="dxa" w:w="3504"/>
            <w:shd w:fill="F8FAFC"/>
            <w:vAlign w:val="center"/>
          </w:tcPr>
          <w:p>
            <w:r/>
            <w:r>
              <w:rPr>
                <w:b w:val="0"/>
                <w:sz w:val="17"/>
              </w:rPr>
              <w:t>App background</w:t>
            </w:r>
          </w:p>
        </w:tc>
      </w:tr>
      <w:tr>
        <w:tc>
          <w:tcPr>
            <w:tcW w:type="dxa" w:w="3504"/>
            <w:shd w:fill="EEF2FF"/>
            <w:vAlign w:val="center"/>
          </w:tcPr>
          <w:p>
            <w:r/>
            <w:r>
              <w:rPr>
                <w:b/>
                <w:color w:val="243BDB"/>
                <w:sz w:val="17"/>
              </w:rPr>
              <w:t>Text</w:t>
            </w:r>
          </w:p>
        </w:tc>
        <w:tc>
          <w:tcPr>
            <w:tcW w:type="dxa" w:w="3504"/>
            <w:shd w:fill="F8FAFC"/>
            <w:vAlign w:val="center"/>
          </w:tcPr>
          <w:p>
            <w:r/>
            <w:r>
              <w:rPr>
                <w:b w:val="0"/>
                <w:sz w:val="17"/>
              </w:rPr>
              <w:t>#18203A</w:t>
            </w:r>
          </w:p>
        </w:tc>
        <w:tc>
          <w:tcPr>
            <w:tcW w:type="dxa" w:w="3504"/>
            <w:shd w:fill="F8FAFC"/>
            <w:vAlign w:val="center"/>
          </w:tcPr>
          <w:p>
            <w:r/>
            <w:r>
              <w:rPr>
                <w:b w:val="0"/>
                <w:sz w:val="17"/>
              </w:rPr>
              <w:t>Headings and body</w:t>
            </w:r>
          </w:p>
        </w:tc>
      </w:tr>
    </w:tbl>
    <w:p>
      <w:r>
        <w:t>Typography: Inter, Geist or Aptos. UI: 12–18px radius, subtle shadows, thin borders, generous whitespace, large touch targets. Avoid excessive gradients.</w:t>
      </w:r>
    </w:p>
    <w:p>
      <w:pPr>
        <w:pStyle w:val="Heading1"/>
      </w:pPr>
      <w:r>
        <w:t>3. Navigation</w:t>
      </w:r>
    </w:p>
    <w:p>
      <w:pPr>
        <w:pStyle w:val="ListBullet"/>
        <w:spacing w:after="20"/>
      </w:pPr>
      <w:r>
        <w:t>Desktop sidebar: Dashboard, New Scan, Scan History, Reports, Analytics, Regulatory Library, Ask PackSure, Settings.</w:t>
      </w:r>
    </w:p>
    <w:p>
      <w:pPr>
        <w:pStyle w:val="ListBullet"/>
        <w:spacing w:after="20"/>
      </w:pPr>
      <w:r>
        <w:t>Mobile: bottom navigation for Dashboard, Scan, History and Reports; secondary items in a menu drawer.</w:t>
      </w:r>
    </w:p>
    <w:p>
      <w:pPr>
        <w:pStyle w:val="ListBullet"/>
        <w:spacing w:after="20"/>
      </w:pPr>
      <w:r>
        <w:t>Keep “New Scan” visually dominant in both layouts.</w:t>
      </w:r>
    </w:p>
    <w:p>
      <w:pPr>
        <w:pStyle w:val="Heading1"/>
      </w:pPr>
      <w:r>
        <w:t>4. Core User Flow</w:t>
      </w:r>
    </w:p>
    <w:p>
      <w:pPr>
        <w:pStyle w:val="ListNumber"/>
        <w:spacing w:after="20"/>
      </w:pPr>
      <w:r>
        <w:t>Login/sign up.</w:t>
      </w:r>
    </w:p>
    <w:p>
      <w:pPr>
        <w:pStyle w:val="ListNumber"/>
        <w:spacing w:after="20"/>
      </w:pPr>
      <w:r>
        <w:t>Click New Scan.</w:t>
      </w:r>
    </w:p>
    <w:p>
      <w:pPr>
        <w:pStyle w:val="ListNumber"/>
        <w:spacing w:after="20"/>
      </w:pPr>
      <w:r>
        <w:t>Upload front/back/side package images or take a photo.</w:t>
      </w:r>
    </w:p>
    <w:p>
      <w:pPr>
        <w:pStyle w:val="ListNumber"/>
        <w:spacing w:after="20"/>
      </w:pPr>
      <w:r>
        <w:t>Run image-quality checks.</w:t>
      </w:r>
    </w:p>
    <w:p>
      <w:pPr>
        <w:pStyle w:val="ListNumber"/>
        <w:spacing w:after="20"/>
      </w:pPr>
      <w:r>
        <w:t>Confirm AI-detected product category.</w:t>
      </w:r>
    </w:p>
    <w:p>
      <w:pPr>
        <w:pStyle w:val="ListNumber"/>
        <w:spacing w:after="20"/>
      </w:pPr>
      <w:r>
        <w:t>Start analysis and show live progress.</w:t>
      </w:r>
    </w:p>
    <w:p>
      <w:pPr>
        <w:pStyle w:val="ListNumber"/>
        <w:spacing w:after="20"/>
      </w:pPr>
      <w:r>
        <w:t>Show score + Pass/Review/Issue counts + heatmap.</w:t>
      </w:r>
    </w:p>
    <w:p>
      <w:pPr>
        <w:pStyle w:val="ListNumber"/>
        <w:spacing w:after="20"/>
      </w:pPr>
      <w:r>
        <w:t>Open any finding for explanation and regulatory evidence.</w:t>
      </w:r>
    </w:p>
    <w:p>
      <w:pPr>
        <w:pStyle w:val="ListNumber"/>
        <w:spacing w:after="20"/>
      </w:pPr>
      <w:r>
        <w:t>Correct/review fields if necessary and rerun analysis.</w:t>
      </w:r>
    </w:p>
    <w:p>
      <w:pPr>
        <w:pStyle w:val="ListNumber"/>
        <w:spacing w:after="20"/>
      </w:pPr>
      <w:r>
        <w:t>Generate PDF and save scan to history.</w:t>
      </w:r>
    </w:p>
    <w:p>
      <w:pPr>
        <w:pStyle w:val="Heading1"/>
      </w:pPr>
      <w:r>
        <w:t>5. Screen-by-Screen Design</w:t>
      </w:r>
    </w:p>
    <w:p>
      <w:pPr>
        <w:pStyle w:val="Heading2"/>
      </w:pPr>
      <w:r>
        <w:t>Landing Page</w:t>
      </w:r>
    </w:p>
    <w:p>
      <w:pPr>
        <w:pStyle w:val="ListBullet"/>
        <w:spacing w:after="20"/>
      </w:pPr>
      <w:r>
        <w:t>Hero: “Scan. Verify. Comply.” + dominant “Scan a Product” CTA.</w:t>
      </w:r>
    </w:p>
    <w:p>
      <w:pPr>
        <w:pStyle w:val="ListBullet"/>
        <w:spacing w:after="20"/>
      </w:pPr>
      <w:r>
        <w:t>Show Upload → AI Check → Report in three visual steps.</w:t>
      </w:r>
    </w:p>
    <w:p>
      <w:pPr>
        <w:pStyle w:val="ListBullet"/>
        <w:spacing w:after="20"/>
      </w:pPr>
      <w:r>
        <w:t>Use a sample compliance heatmap as the hero visual.</w:t>
      </w:r>
    </w:p>
    <w:p>
      <w:pPr>
        <w:pStyle w:val="ListBullet"/>
        <w:spacing w:after="20"/>
      </w:pPr>
      <w:r>
        <w:t>Show AI, OCR, Computer Vision and Regulatory Intelligence chips.</w:t>
      </w:r>
    </w:p>
    <w:p>
      <w:pPr>
        <w:pStyle w:val="ListBullet"/>
        <w:spacing w:after="20"/>
      </w:pPr>
      <w:r>
        <w:t>Display a concise AI-assisted screening disclaimer.</w:t>
      </w:r>
    </w:p>
    <w:p>
      <w:pPr>
        <w:pStyle w:val="Heading2"/>
      </w:pPr>
      <w:r>
        <w:t>Login / Sign Up</w:t>
      </w:r>
    </w:p>
    <w:p>
      <w:pPr>
        <w:pStyle w:val="ListBullet"/>
        <w:spacing w:after="20"/>
      </w:pPr>
      <w:r>
        <w:t>Simple email/password form; optional Google sign-in.</w:t>
      </w:r>
    </w:p>
    <w:p>
      <w:pPr>
        <w:pStyle w:val="ListBullet"/>
        <w:spacing w:after="20"/>
      </w:pPr>
      <w:r>
        <w:t>Single-column mobile layout; split desktop layout.</w:t>
      </w:r>
    </w:p>
    <w:p>
      <w:pPr>
        <w:pStyle w:val="ListBullet"/>
        <w:spacing w:after="20"/>
      </w:pPr>
      <w:r>
        <w:t>Ask organization details after account creation where possible.</w:t>
      </w:r>
    </w:p>
    <w:p>
      <w:pPr>
        <w:pStyle w:val="Heading2"/>
      </w:pPr>
      <w:r>
        <w:t>Dashboard</w:t>
      </w:r>
    </w:p>
    <w:p>
      <w:pPr>
        <w:pStyle w:val="ListBullet"/>
        <w:spacing w:after="20"/>
      </w:pPr>
      <w:r>
        <w:t>Greeting + New Scan CTA.</w:t>
      </w:r>
    </w:p>
    <w:p>
      <w:pPr>
        <w:pStyle w:val="ListBullet"/>
        <w:spacing w:after="20"/>
      </w:pPr>
      <w:r>
        <w:t>KPI cards: Products Scanned, Passed, Needs Review, Potential Issues.</w:t>
      </w:r>
    </w:p>
    <w:p>
      <w:pPr>
        <w:pStyle w:val="ListBullet"/>
        <w:spacing w:after="20"/>
      </w:pPr>
      <w:r>
        <w:t>Recent scans with thumbnail, score and status.</w:t>
      </w:r>
    </w:p>
    <w:p>
      <w:pPr>
        <w:pStyle w:val="ListBullet"/>
        <w:spacing w:after="20"/>
      </w:pPr>
      <w:r>
        <w:t>Small card for most common issues.</w:t>
      </w:r>
    </w:p>
    <w:p>
      <w:pPr>
        <w:pStyle w:val="ListBullet"/>
        <w:spacing w:after="20"/>
      </w:pPr>
      <w:r>
        <w:t>Helpful empty state that leads directly to first scan.</w:t>
      </w:r>
    </w:p>
    <w:p>
      <w:pPr>
        <w:pStyle w:val="Heading2"/>
      </w:pPr>
      <w:r>
        <w:t>New Scan / Upload</w:t>
      </w:r>
    </w:p>
    <w:p>
      <w:pPr>
        <w:pStyle w:val="ListBullet"/>
        <w:spacing w:after="20"/>
      </w:pPr>
      <w:r>
        <w:t>Large drag-and-drop zone.</w:t>
      </w:r>
    </w:p>
    <w:p>
      <w:pPr>
        <w:pStyle w:val="ListBullet"/>
        <w:spacing w:after="20"/>
      </w:pPr>
      <w:r>
        <w:t>Multiple image upload for package sides.</w:t>
      </w:r>
    </w:p>
    <w:p>
      <w:pPr>
        <w:pStyle w:val="ListBullet"/>
        <w:spacing w:after="20"/>
      </w:pPr>
      <w:r>
        <w:t>Thumbnail strip with reorder/delete.</w:t>
      </w:r>
    </w:p>
    <w:p>
      <w:pPr>
        <w:pStyle w:val="ListBullet"/>
        <w:spacing w:after="20"/>
      </w:pPr>
      <w:r>
        <w:t>Image quality status: Good / Blurry / Dark / Incomplete.</w:t>
      </w:r>
    </w:p>
    <w:p>
      <w:pPr>
        <w:pStyle w:val="ListBullet"/>
        <w:spacing w:after="20"/>
      </w:pPr>
      <w:r>
        <w:t>AI category suggestion with Confirm/Change.</w:t>
      </w:r>
    </w:p>
    <w:p>
      <w:pPr>
        <w:pStyle w:val="ListBullet"/>
        <w:spacing w:after="20"/>
      </w:pPr>
      <w:r>
        <w:t>Analyze Product CTA.</w:t>
      </w:r>
    </w:p>
    <w:p>
      <w:pPr>
        <w:pStyle w:val="Heading2"/>
      </w:pPr>
      <w:r>
        <w:t>Live Analysis</w:t>
      </w:r>
    </w:p>
    <w:p>
      <w:pPr>
        <w:pStyle w:val="ListBullet"/>
        <w:spacing w:after="20"/>
      </w:pPr>
      <w:r>
        <w:t>Animated pipeline: image processing → OCR → extraction → categorization → rule retrieval → evaluation → heatmap → report.</w:t>
      </w:r>
    </w:p>
    <w:p>
      <w:pPr>
        <w:pStyle w:val="ListBullet"/>
        <w:spacing w:after="20"/>
      </w:pPr>
      <w:r>
        <w:t>Show meaningful step status, not only a spinner.</w:t>
      </w:r>
    </w:p>
    <w:p>
      <w:pPr>
        <w:pStyle w:val="ListBullet"/>
        <w:spacing w:after="20"/>
      </w:pPr>
      <w:r>
        <w:t>Allow cancellation/retry.</w:t>
      </w:r>
    </w:p>
    <w:p>
      <w:pPr>
        <w:pStyle w:val="Heading2"/>
      </w:pPr>
      <w:r>
        <w:t>Results / Heatmap</w:t>
      </w:r>
    </w:p>
    <w:p>
      <w:pPr>
        <w:pStyle w:val="ListBullet"/>
        <w:spacing w:after="20"/>
      </w:pPr>
      <w:r>
        <w:t>Desktop: Original Image | AI Heatmap | Findings.</w:t>
      </w:r>
    </w:p>
    <w:p>
      <w:pPr>
        <w:pStyle w:val="ListBullet"/>
        <w:spacing w:after="20"/>
      </w:pPr>
      <w:r>
        <w:t>Mobile: Original / Heatmap / Findings tabs.</w:t>
      </w:r>
    </w:p>
    <w:p>
      <w:pPr>
        <w:pStyle w:val="ListBullet"/>
        <w:spacing w:after="20"/>
      </w:pPr>
      <w:r>
        <w:t>Zoom/pan; toggle individual overlays.</w:t>
      </w:r>
    </w:p>
    <w:p>
      <w:pPr>
        <w:pStyle w:val="ListBullet"/>
        <w:spacing w:after="20"/>
      </w:pPr>
      <w:r>
        <w:t>Green Pass, Amber Review, Red Potential Issue.</w:t>
      </w:r>
    </w:p>
    <w:p>
      <w:pPr>
        <w:pStyle w:val="ListBullet"/>
        <w:spacing w:after="20"/>
      </w:pPr>
      <w:r>
        <w:t>Clicking a finding focuses its corresponding image region.</w:t>
      </w:r>
    </w:p>
    <w:p>
      <w:pPr>
        <w:pStyle w:val="Heading2"/>
      </w:pPr>
      <w:r>
        <w:t>Finding Detail</w:t>
      </w:r>
    </w:p>
    <w:p>
      <w:pPr>
        <w:pStyle w:val="ListBullet"/>
        <w:spacing w:after="20"/>
      </w:pPr>
      <w:r>
        <w:t>Requirement, detected value, status, confidence, evidence, explanation, source and recommended action.</w:t>
      </w:r>
    </w:p>
    <w:p>
      <w:pPr>
        <w:pStyle w:val="ListBullet"/>
        <w:spacing w:after="20"/>
      </w:pPr>
      <w:r>
        <w:t>Buttons: Mark as Reviewed / Correct Value / Re-run.</w:t>
      </w:r>
    </w:p>
    <w:p>
      <w:pPr>
        <w:pStyle w:val="Heading2"/>
      </w:pPr>
      <w:r>
        <w:t>Report</w:t>
      </w:r>
    </w:p>
    <w:p>
      <w:pPr>
        <w:pStyle w:val="ListBullet"/>
        <w:spacing w:after="20"/>
      </w:pPr>
      <w:r>
        <w:t>Professional report preview.</w:t>
      </w:r>
    </w:p>
    <w:p>
      <w:pPr>
        <w:pStyle w:val="ListBullet"/>
        <w:spacing w:after="20"/>
      </w:pPr>
      <w:r>
        <w:t>Score, heatmap snapshot, detailed findings, explanations and sources.</w:t>
      </w:r>
    </w:p>
    <w:p>
      <w:pPr>
        <w:pStyle w:val="ListBullet"/>
        <w:spacing w:after="20"/>
      </w:pPr>
      <w:r>
        <w:t>Download PDF / Print / Share.</w:t>
      </w:r>
    </w:p>
    <w:p>
      <w:pPr>
        <w:pStyle w:val="Heading2"/>
      </w:pPr>
      <w:r>
        <w:t>Scan History</w:t>
      </w:r>
    </w:p>
    <w:p>
      <w:pPr>
        <w:pStyle w:val="ListBullet"/>
        <w:spacing w:after="20"/>
      </w:pPr>
      <w:r>
        <w:t>Search, filter by status/category/date and sort.</w:t>
      </w:r>
    </w:p>
    <w:p>
      <w:pPr>
        <w:pStyle w:val="ListBullet"/>
        <w:spacing w:after="20"/>
      </w:pPr>
      <w:r>
        <w:t>Cards/table with thumbnail, score, status and timestamp.</w:t>
      </w:r>
    </w:p>
    <w:p>
      <w:pPr>
        <w:pStyle w:val="ListBullet"/>
        <w:spacing w:after="20"/>
      </w:pPr>
      <w:r>
        <w:t>Click opens saved analysis.</w:t>
      </w:r>
    </w:p>
    <w:p>
      <w:pPr>
        <w:pStyle w:val="Heading2"/>
      </w:pPr>
      <w:r>
        <w:t>Analytics</w:t>
      </w:r>
    </w:p>
    <w:p>
      <w:pPr>
        <w:pStyle w:val="ListBullet"/>
        <w:spacing w:after="20"/>
      </w:pPr>
      <w:r>
        <w:t>Pass/review/issue trend.</w:t>
      </w:r>
    </w:p>
    <w:p>
      <w:pPr>
        <w:pStyle w:val="ListBullet"/>
        <w:spacing w:after="20"/>
      </w:pPr>
      <w:r>
        <w:t>Most common issues.</w:t>
      </w:r>
    </w:p>
    <w:p>
      <w:pPr>
        <w:pStyle w:val="ListBullet"/>
        <w:spacing w:after="20"/>
      </w:pPr>
      <w:r>
        <w:t>Category-wise compliance.</w:t>
      </w:r>
    </w:p>
    <w:p>
      <w:pPr>
        <w:pStyle w:val="ListBullet"/>
        <w:spacing w:after="20"/>
      </w:pPr>
      <w:r>
        <w:t>Average score over time.</w:t>
      </w:r>
    </w:p>
    <w:p>
      <w:pPr>
        <w:pStyle w:val="ListBullet"/>
        <w:spacing w:after="20"/>
      </w:pPr>
      <w:r>
        <w:t>Keep charts simple and readable.</w:t>
      </w:r>
    </w:p>
    <w:p>
      <w:pPr>
        <w:pStyle w:val="Heading2"/>
      </w:pPr>
      <w:r>
        <w:t>Ask PackSure</w:t>
      </w:r>
    </w:p>
    <w:p>
      <w:pPr>
        <w:pStyle w:val="ListBullet"/>
        <w:spacing w:after="20"/>
      </w:pPr>
      <w:r>
        <w:t>Chat grounded in configured regulatory sources and scan evidence.</w:t>
      </w:r>
    </w:p>
    <w:p>
      <w:pPr>
        <w:pStyle w:val="ListBullet"/>
        <w:spacing w:after="20"/>
      </w:pPr>
      <w:r>
        <w:t>Suggested prompts: Why was this flagged? What should I review? Show evidence.</w:t>
      </w:r>
    </w:p>
    <w:p>
      <w:pPr>
        <w:pStyle w:val="ListBullet"/>
        <w:spacing w:after="20"/>
      </w:pPr>
      <w:r>
        <w:t>Display source references beside answers.</w:t>
      </w:r>
    </w:p>
    <w:p>
      <w:pPr>
        <w:pStyle w:val="Heading2"/>
      </w:pPr>
      <w:r>
        <w:t>Settings</w:t>
      </w:r>
    </w:p>
    <w:p>
      <w:pPr>
        <w:pStyle w:val="ListBullet"/>
        <w:spacing w:after="20"/>
      </w:pPr>
      <w:r>
        <w:t>Profile, organization, notification preferences, data retention and sign out.</w:t>
      </w:r>
    </w:p>
    <w:p>
      <w:pPr>
        <w:pStyle w:val="ListBullet"/>
        <w:spacing w:after="20"/>
      </w:pPr>
      <w:r>
        <w:t>Optional organization role management.</w:t>
      </w:r>
    </w:p>
    <w:p>
      <w:pPr>
        <w:pStyle w:val="Heading1"/>
      </w:pPr>
      <w:r>
        <w:t>6. Dynamic Interactions</w:t>
      </w:r>
    </w:p>
    <w:p>
      <w:pPr>
        <w:pStyle w:val="ListBullet"/>
        <w:spacing w:after="20"/>
      </w:pPr>
      <w:r>
        <w:t>Upload zone responds to drag-over.</w:t>
      </w:r>
    </w:p>
    <w:p>
      <w:pPr>
        <w:pStyle w:val="ListBullet"/>
        <w:spacing w:after="20"/>
      </w:pPr>
      <w:r>
        <w:t>Analysis steps check off in real time.</w:t>
      </w:r>
    </w:p>
    <w:p>
      <w:pPr>
        <w:pStyle w:val="ListBullet"/>
        <w:spacing w:after="20"/>
      </w:pPr>
      <w:r>
        <w:t>Score animates to final value.</w:t>
      </w:r>
    </w:p>
    <w:p>
      <w:pPr>
        <w:pStyle w:val="ListBullet"/>
        <w:spacing w:after="20"/>
      </w:pPr>
      <w:r>
        <w:t>Heatmap boxes appear as findings arrive.</w:t>
      </w:r>
    </w:p>
    <w:p>
      <w:pPr>
        <w:pStyle w:val="ListBullet"/>
        <w:spacing w:after="20"/>
      </w:pPr>
      <w:r>
        <w:t>Hover/tap opens a mini finding card.</w:t>
      </w:r>
    </w:p>
    <w:p>
      <w:pPr>
        <w:pStyle w:val="ListBullet"/>
        <w:spacing w:after="20"/>
      </w:pPr>
      <w:r>
        <w:t>Finding click focuses the matching image region.</w:t>
      </w:r>
    </w:p>
    <w:p>
      <w:pPr>
        <w:pStyle w:val="ListBullet"/>
        <w:spacing w:after="20"/>
      </w:pPr>
      <w:r>
        <w:t>Skeleton loaders for dashboard/report data.</w:t>
      </w:r>
    </w:p>
    <w:p>
      <w:pPr>
        <w:pStyle w:val="ListBullet"/>
        <w:spacing w:after="20"/>
      </w:pPr>
      <w:r>
        <w:t>Toasts for upload, save, retry and report generation.</w:t>
      </w:r>
    </w:p>
    <w:p>
      <w:pPr>
        <w:pStyle w:val="ListBullet"/>
        <w:spacing w:after="20"/>
      </w:pPr>
      <w:r>
        <w:t>Optimistic UI for review/correction actions.</w:t>
      </w:r>
    </w:p>
    <w:p>
      <w:pPr>
        <w:pStyle w:val="Heading1"/>
      </w:pPr>
      <w:r>
        <w:t>7. Accessibility &amp; Usability</w:t>
      </w:r>
    </w:p>
    <w:p>
      <w:pPr>
        <w:pStyle w:val="ListBullet"/>
        <w:spacing w:after="20"/>
      </w:pPr>
      <w:r>
        <w:t>44×44px minimum touch targets.</w:t>
      </w:r>
    </w:p>
    <w:p>
      <w:pPr>
        <w:pStyle w:val="ListBullet"/>
        <w:spacing w:after="20"/>
      </w:pPr>
      <w:r>
        <w:t>Never communicate status by color alone; pair color with icon/text.</w:t>
      </w:r>
    </w:p>
    <w:p>
      <w:pPr>
        <w:pStyle w:val="ListBullet"/>
        <w:spacing w:after="20"/>
      </w:pPr>
      <w:r>
        <w:t>Keyboard navigation and visible focus states.</w:t>
      </w:r>
    </w:p>
    <w:p>
      <w:pPr>
        <w:pStyle w:val="ListBullet"/>
        <w:spacing w:after="20"/>
      </w:pPr>
      <w:r>
        <w:t>Readable contrast and 14px+ body text.</w:t>
      </w:r>
    </w:p>
    <w:p>
      <w:pPr>
        <w:pStyle w:val="ListBullet"/>
        <w:spacing w:after="20"/>
      </w:pPr>
      <w:r>
        <w:t>Clear error messages with recovery instructions.</w:t>
      </w:r>
    </w:p>
    <w:p>
      <w:pPr>
        <w:pStyle w:val="ListBullet"/>
        <w:spacing w:after="20"/>
      </w:pPr>
      <w:r>
        <w:t>Alt text for meaningful images.</w:t>
      </w:r>
    </w:p>
    <w:p>
      <w:pPr>
        <w:pStyle w:val="Heading1"/>
      </w:pPr>
      <w:r>
        <w:t>8. Error &amp; Edge States</w:t>
      </w:r>
    </w:p>
    <w:tbl>
      <w:tblPr>
        <w:tblW w:type="auto" w:w="0"/>
        <w:jc w:val="center"/>
        <w:tblLook w:firstColumn="1" w:firstRow="1" w:lastColumn="0" w:lastRow="0" w:noHBand="0" w:noVBand="1" w:val="04A0"/>
      </w:tblPr>
      <w:tblGrid>
        <w:gridCol w:w="5256"/>
        <w:gridCol w:w="5256"/>
      </w:tblGrid>
      <w:tr>
        <w:tc>
          <w:tcPr>
            <w:tcW w:type="dxa" w:w="5256"/>
            <w:shd w:fill="18203A"/>
            <w:vAlign w:val="center"/>
          </w:tcPr>
          <w:p>
            <w:r/>
            <w:r>
              <w:rPr>
                <w:b/>
                <w:color w:val="FFFFFF"/>
                <w:sz w:val="17"/>
              </w:rPr>
              <w:t>State</w:t>
            </w:r>
          </w:p>
        </w:tc>
        <w:tc>
          <w:tcPr>
            <w:tcW w:type="dxa" w:w="5256"/>
            <w:shd w:fill="18203A"/>
            <w:vAlign w:val="center"/>
          </w:tcPr>
          <w:p>
            <w:r/>
            <w:r>
              <w:rPr>
                <w:b/>
                <w:color w:val="FFFFFF"/>
                <w:sz w:val="17"/>
              </w:rPr>
              <w:t>UX Response</w:t>
            </w:r>
          </w:p>
        </w:tc>
      </w:tr>
      <w:tr>
        <w:tc>
          <w:tcPr>
            <w:tcW w:type="dxa" w:w="5256"/>
            <w:shd w:fill="EEF2FF"/>
            <w:vAlign w:val="center"/>
          </w:tcPr>
          <w:p>
            <w:r/>
            <w:r>
              <w:rPr>
                <w:b/>
                <w:color w:val="243BDB"/>
                <w:sz w:val="17"/>
              </w:rPr>
              <w:t>Unsupported file</w:t>
            </w:r>
          </w:p>
        </w:tc>
        <w:tc>
          <w:tcPr>
            <w:tcW w:type="dxa" w:w="5256"/>
            <w:shd w:fill="F8FAFC"/>
            <w:vAlign w:val="center"/>
          </w:tcPr>
          <w:p>
            <w:r/>
            <w:r>
              <w:rPr>
                <w:b w:val="0"/>
                <w:sz w:val="17"/>
              </w:rPr>
              <w:t>Upload JPG, PNG or WebP.</w:t>
            </w:r>
          </w:p>
        </w:tc>
      </w:tr>
      <w:tr>
        <w:tc>
          <w:tcPr>
            <w:tcW w:type="dxa" w:w="5256"/>
            <w:shd w:fill="EEF2FF"/>
            <w:vAlign w:val="center"/>
          </w:tcPr>
          <w:p>
            <w:r/>
            <w:r>
              <w:rPr>
                <w:b/>
                <w:color w:val="243BDB"/>
                <w:sz w:val="17"/>
              </w:rPr>
              <w:t>Blurry image</w:t>
            </w:r>
          </w:p>
        </w:tc>
        <w:tc>
          <w:tcPr>
            <w:tcW w:type="dxa" w:w="5256"/>
            <w:shd w:fill="F8FAFC"/>
            <w:vAlign w:val="center"/>
          </w:tcPr>
          <w:p>
            <w:r/>
            <w:r>
              <w:rPr>
                <w:b w:val="0"/>
                <w:sz w:val="17"/>
              </w:rPr>
              <w:t>Ask for a clearer image or continue with review warning.</w:t>
            </w:r>
          </w:p>
        </w:tc>
      </w:tr>
      <w:tr>
        <w:tc>
          <w:tcPr>
            <w:tcW w:type="dxa" w:w="5256"/>
            <w:shd w:fill="EEF2FF"/>
            <w:vAlign w:val="center"/>
          </w:tcPr>
          <w:p>
            <w:r/>
            <w:r>
              <w:rPr>
                <w:b/>
                <w:color w:val="243BDB"/>
                <w:sz w:val="17"/>
              </w:rPr>
              <w:t>No product detected</w:t>
            </w:r>
          </w:p>
        </w:tc>
        <w:tc>
          <w:tcPr>
            <w:tcW w:type="dxa" w:w="5256"/>
            <w:shd w:fill="F8FAFC"/>
            <w:vAlign w:val="center"/>
          </w:tcPr>
          <w:p>
            <w:r/>
            <w:r>
              <w:rPr>
                <w:b w:val="0"/>
                <w:sz w:val="17"/>
              </w:rPr>
              <w:t>Ask for a front-facing package image.</w:t>
            </w:r>
          </w:p>
        </w:tc>
      </w:tr>
      <w:tr>
        <w:tc>
          <w:tcPr>
            <w:tcW w:type="dxa" w:w="5256"/>
            <w:shd w:fill="EEF2FF"/>
            <w:vAlign w:val="center"/>
          </w:tcPr>
          <w:p>
            <w:r/>
            <w:r>
              <w:rPr>
                <w:b/>
                <w:color w:val="243BDB"/>
                <w:sz w:val="17"/>
              </w:rPr>
              <w:t>OCR failure</w:t>
            </w:r>
          </w:p>
        </w:tc>
        <w:tc>
          <w:tcPr>
            <w:tcW w:type="dxa" w:w="5256"/>
            <w:shd w:fill="F8FAFC"/>
            <w:vAlign w:val="center"/>
          </w:tcPr>
          <w:p>
            <w:r/>
            <w:r>
              <w:rPr>
                <w:b w:val="0"/>
                <w:sz w:val="17"/>
              </w:rPr>
              <w:t>Suggest better lighting/angle.</w:t>
            </w:r>
          </w:p>
        </w:tc>
      </w:tr>
      <w:tr>
        <w:tc>
          <w:tcPr>
            <w:tcW w:type="dxa" w:w="5256"/>
            <w:shd w:fill="EEF2FF"/>
            <w:vAlign w:val="center"/>
          </w:tcPr>
          <w:p>
            <w:r/>
            <w:r>
              <w:rPr>
                <w:b/>
                <w:color w:val="243BDB"/>
                <w:sz w:val="17"/>
              </w:rPr>
              <w:t>Regulation unavailable</w:t>
            </w:r>
          </w:p>
        </w:tc>
        <w:tc>
          <w:tcPr>
            <w:tcW w:type="dxa" w:w="5256"/>
            <w:shd w:fill="F8FAFC"/>
            <w:vAlign w:val="center"/>
          </w:tcPr>
          <w:p>
            <w:r/>
            <w:r>
              <w:rPr>
                <w:b w:val="0"/>
                <w:sz w:val="17"/>
              </w:rPr>
              <w:t>Mark analysis incomplete and require human review.</w:t>
            </w:r>
          </w:p>
        </w:tc>
      </w:tr>
      <w:tr>
        <w:tc>
          <w:tcPr>
            <w:tcW w:type="dxa" w:w="5256"/>
            <w:shd w:fill="EEF2FF"/>
            <w:vAlign w:val="center"/>
          </w:tcPr>
          <w:p>
            <w:r/>
            <w:r>
              <w:rPr>
                <w:b/>
                <w:color w:val="243BDB"/>
                <w:sz w:val="17"/>
              </w:rPr>
              <w:t>Low confidence</w:t>
            </w:r>
          </w:p>
        </w:tc>
        <w:tc>
          <w:tcPr>
            <w:tcW w:type="dxa" w:w="5256"/>
            <w:shd w:fill="F8FAFC"/>
            <w:vAlign w:val="center"/>
          </w:tcPr>
          <w:p>
            <w:r/>
            <w:r>
              <w:rPr>
                <w:b w:val="0"/>
                <w:sz w:val="17"/>
              </w:rPr>
              <w:t>Use Needs Review instead of forcing Pass/Issue.</w:t>
            </w:r>
          </w:p>
        </w:tc>
      </w:tr>
      <w:tr>
        <w:tc>
          <w:tcPr>
            <w:tcW w:type="dxa" w:w="5256"/>
            <w:shd w:fill="EEF2FF"/>
            <w:vAlign w:val="center"/>
          </w:tcPr>
          <w:p>
            <w:r/>
            <w:r>
              <w:rPr>
                <w:b/>
                <w:color w:val="243BDB"/>
                <w:sz w:val="17"/>
              </w:rPr>
              <w:t>AI unavailable</w:t>
            </w:r>
          </w:p>
        </w:tc>
        <w:tc>
          <w:tcPr>
            <w:tcW w:type="dxa" w:w="5256"/>
            <w:shd w:fill="F8FAFC"/>
            <w:vAlign w:val="center"/>
          </w:tcPr>
          <w:p>
            <w:r/>
            <w:r>
              <w:rPr>
                <w:b w:val="0"/>
                <w:sz w:val="17"/>
              </w:rPr>
              <w:t>Allow retry while preserving upload and scan state.</w:t>
            </w:r>
          </w:p>
        </w:tc>
      </w:tr>
    </w:tbl>
    <w:p>
      <w:pPr>
        <w:pStyle w:val="Heading1"/>
      </w:pPr>
      <w:r>
        <w:t>9. Compliance Result Card</w:t>
      </w:r>
    </w:p>
    <w:p>
      <w:pPr>
        <w:pStyle w:val="ListNumber"/>
        <w:spacing w:after="20"/>
      </w:pPr>
      <w:r>
        <w:t>Status icon + requirement name.</w:t>
      </w:r>
    </w:p>
    <w:p>
      <w:pPr>
        <w:pStyle w:val="ListNumber"/>
        <w:spacing w:after="20"/>
      </w:pPr>
      <w:r>
        <w:t>Detected value.</w:t>
      </w:r>
    </w:p>
    <w:p>
      <w:pPr>
        <w:pStyle w:val="ListNumber"/>
        <w:spacing w:after="20"/>
      </w:pPr>
      <w:r>
        <w:t>Confidence.</w:t>
      </w:r>
    </w:p>
    <w:p>
      <w:pPr>
        <w:pStyle w:val="ListNumber"/>
        <w:spacing w:after="20"/>
      </w:pPr>
      <w:r>
        <w:t>Short explanation.</w:t>
      </w:r>
    </w:p>
    <w:p>
      <w:pPr>
        <w:pStyle w:val="ListNumber"/>
        <w:spacing w:after="20"/>
      </w:pPr>
      <w:r>
        <w:t>Evidence/location on package.</w:t>
      </w:r>
    </w:p>
    <w:p>
      <w:pPr>
        <w:pStyle w:val="ListNumber"/>
        <w:spacing w:after="20"/>
      </w:pPr>
      <w:r>
        <w:t>Regulatory source.</w:t>
      </w:r>
    </w:p>
    <w:p>
      <w:pPr>
        <w:pStyle w:val="ListNumber"/>
        <w:spacing w:after="20"/>
      </w:pPr>
      <w:r>
        <w:t>Recommended next action.</w:t>
      </w:r>
    </w:p>
    <w:p>
      <w:pPr>
        <w:pStyle w:val="Heading1"/>
      </w:pPr>
      <w:r>
        <w:t>10. Frontend Component Structure</w:t>
      </w:r>
    </w:p>
    <w:p>
      <w:r>
        <w:rPr>
          <w:rFonts w:ascii="Consolas" w:hAnsi="Consolas"/>
          <w:sz w:val="16"/>
        </w:rPr>
        <w:t>app/</w:t>
        <w:br/>
        <w:t xml:space="preserve">  dashboard/  scan/  results/  history/  reports/  analytics/  regulations/  ask/  settings/</w:t>
        <w:br/>
        <w:br/>
        <w:t>components/</w:t>
        <w:br/>
        <w:t xml:space="preserve">  AppSidebar  MobileNav  UploadDropzone  ImageGallery  ScanProgress</w:t>
        <w:br/>
        <w:t xml:space="preserve">  ComplianceScore  StatusBadge  HeatmapViewer  FindingCard  FindingDrawer</w:t>
        <w:br/>
        <w:t xml:space="preserve">  RegulationCitation  ReportPreview  KPI Card  Charts  Toast  Modal</w:t>
      </w:r>
    </w:p>
    <w:p>
      <w:pPr>
        <w:pStyle w:val="Heading1"/>
      </w:pPr>
      <w:r>
        <w:t>11. API/UI Contract</w:t>
      </w:r>
    </w:p>
    <w:tbl>
      <w:tblPr>
        <w:tblW w:type="auto" w:w="0"/>
        <w:jc w:val="center"/>
        <w:tblLook w:firstColumn="1" w:firstRow="1" w:lastColumn="0" w:lastRow="0" w:noHBand="0" w:noVBand="1" w:val="04A0"/>
      </w:tblPr>
      <w:tblGrid>
        <w:gridCol w:w="5256"/>
        <w:gridCol w:w="5256"/>
      </w:tblGrid>
      <w:tr>
        <w:tc>
          <w:tcPr>
            <w:tcW w:type="dxa" w:w="5256"/>
            <w:shd w:fill="18203A"/>
            <w:vAlign w:val="center"/>
          </w:tcPr>
          <w:p>
            <w:r/>
            <w:r>
              <w:rPr>
                <w:b/>
                <w:color w:val="FFFFFF"/>
                <w:sz w:val="17"/>
              </w:rPr>
              <w:t>Endpoint</w:t>
            </w:r>
          </w:p>
        </w:tc>
        <w:tc>
          <w:tcPr>
            <w:tcW w:type="dxa" w:w="5256"/>
            <w:shd w:fill="18203A"/>
            <w:vAlign w:val="center"/>
          </w:tcPr>
          <w:p>
            <w:r/>
            <w:r>
              <w:rPr>
                <w:b/>
                <w:color w:val="FFFFFF"/>
                <w:sz w:val="17"/>
              </w:rPr>
              <w:t>Purpose</w:t>
            </w:r>
          </w:p>
        </w:tc>
      </w:tr>
      <w:tr>
        <w:tc>
          <w:tcPr>
            <w:tcW w:type="dxa" w:w="5256"/>
            <w:shd w:fill="EEF2FF"/>
            <w:vAlign w:val="center"/>
          </w:tcPr>
          <w:p>
            <w:r/>
            <w:r>
              <w:rPr>
                <w:b/>
                <w:color w:val="243BDB"/>
                <w:sz w:val="17"/>
              </w:rPr>
              <w:t>POST /scans</w:t>
            </w:r>
          </w:p>
        </w:tc>
        <w:tc>
          <w:tcPr>
            <w:tcW w:type="dxa" w:w="5256"/>
            <w:shd w:fill="F8FAFC"/>
            <w:vAlign w:val="center"/>
          </w:tcPr>
          <w:p>
            <w:r/>
            <w:r>
              <w:rPr>
                <w:b w:val="0"/>
                <w:sz w:val="17"/>
              </w:rPr>
              <w:t>Create scan</w:t>
            </w:r>
          </w:p>
        </w:tc>
      </w:tr>
      <w:tr>
        <w:tc>
          <w:tcPr>
            <w:tcW w:type="dxa" w:w="5256"/>
            <w:shd w:fill="EEF2FF"/>
            <w:vAlign w:val="center"/>
          </w:tcPr>
          <w:p>
            <w:r/>
            <w:r>
              <w:rPr>
                <w:b/>
                <w:color w:val="243BDB"/>
                <w:sz w:val="17"/>
              </w:rPr>
              <w:t>POST /scans/{id}/images</w:t>
            </w:r>
          </w:p>
        </w:tc>
        <w:tc>
          <w:tcPr>
            <w:tcW w:type="dxa" w:w="5256"/>
            <w:shd w:fill="F8FAFC"/>
            <w:vAlign w:val="center"/>
          </w:tcPr>
          <w:p>
            <w:r/>
            <w:r>
              <w:rPr>
                <w:b w:val="0"/>
                <w:sz w:val="17"/>
              </w:rPr>
              <w:t>Upload package image(s)</w:t>
            </w:r>
          </w:p>
        </w:tc>
      </w:tr>
      <w:tr>
        <w:tc>
          <w:tcPr>
            <w:tcW w:type="dxa" w:w="5256"/>
            <w:shd w:fill="EEF2FF"/>
            <w:vAlign w:val="center"/>
          </w:tcPr>
          <w:p>
            <w:r/>
            <w:r>
              <w:rPr>
                <w:b/>
                <w:color w:val="243BDB"/>
                <w:sz w:val="17"/>
              </w:rPr>
              <w:t>POST /scans/{id}/analyze</w:t>
            </w:r>
          </w:p>
        </w:tc>
        <w:tc>
          <w:tcPr>
            <w:tcW w:type="dxa" w:w="5256"/>
            <w:shd w:fill="F8FAFC"/>
            <w:vAlign w:val="center"/>
          </w:tcPr>
          <w:p>
            <w:r/>
            <w:r>
              <w:rPr>
                <w:b w:val="0"/>
                <w:sz w:val="17"/>
              </w:rPr>
              <w:t>Start analysis</w:t>
            </w:r>
          </w:p>
        </w:tc>
      </w:tr>
      <w:tr>
        <w:tc>
          <w:tcPr>
            <w:tcW w:type="dxa" w:w="5256"/>
            <w:shd w:fill="EEF2FF"/>
            <w:vAlign w:val="center"/>
          </w:tcPr>
          <w:p>
            <w:r/>
            <w:r>
              <w:rPr>
                <w:b/>
                <w:color w:val="243BDB"/>
                <w:sz w:val="17"/>
              </w:rPr>
              <w:t>GET /scans/{id}/status</w:t>
            </w:r>
          </w:p>
        </w:tc>
        <w:tc>
          <w:tcPr>
            <w:tcW w:type="dxa" w:w="5256"/>
            <w:shd w:fill="F8FAFC"/>
            <w:vAlign w:val="center"/>
          </w:tcPr>
          <w:p>
            <w:r/>
            <w:r>
              <w:rPr>
                <w:b w:val="0"/>
                <w:sz w:val="17"/>
              </w:rPr>
              <w:t>Live progress</w:t>
            </w:r>
          </w:p>
        </w:tc>
      </w:tr>
      <w:tr>
        <w:tc>
          <w:tcPr>
            <w:tcW w:type="dxa" w:w="5256"/>
            <w:shd w:fill="EEF2FF"/>
            <w:vAlign w:val="center"/>
          </w:tcPr>
          <w:p>
            <w:r/>
            <w:r>
              <w:rPr>
                <w:b/>
                <w:color w:val="243BDB"/>
                <w:sz w:val="17"/>
              </w:rPr>
              <w:t>GET /scans/{id}/results</w:t>
            </w:r>
          </w:p>
        </w:tc>
        <w:tc>
          <w:tcPr>
            <w:tcW w:type="dxa" w:w="5256"/>
            <w:shd w:fill="F8FAFC"/>
            <w:vAlign w:val="center"/>
          </w:tcPr>
          <w:p>
            <w:r/>
            <w:r>
              <w:rPr>
                <w:b w:val="0"/>
                <w:sz w:val="17"/>
              </w:rPr>
              <w:t>Findings + heatmap coordinates</w:t>
            </w:r>
          </w:p>
        </w:tc>
      </w:tr>
      <w:tr>
        <w:tc>
          <w:tcPr>
            <w:tcW w:type="dxa" w:w="5256"/>
            <w:shd w:fill="EEF2FF"/>
            <w:vAlign w:val="center"/>
          </w:tcPr>
          <w:p>
            <w:r/>
            <w:r>
              <w:rPr>
                <w:b/>
                <w:color w:val="243BDB"/>
                <w:sz w:val="17"/>
              </w:rPr>
              <w:t>POST /scans/{id}/review</w:t>
            </w:r>
          </w:p>
        </w:tc>
        <w:tc>
          <w:tcPr>
            <w:tcW w:type="dxa" w:w="5256"/>
            <w:shd w:fill="F8FAFC"/>
            <w:vAlign w:val="center"/>
          </w:tcPr>
          <w:p>
            <w:r/>
            <w:r>
              <w:rPr>
                <w:b w:val="0"/>
                <w:sz w:val="17"/>
              </w:rPr>
              <w:t>Human correction/review</w:t>
            </w:r>
          </w:p>
        </w:tc>
      </w:tr>
      <w:tr>
        <w:tc>
          <w:tcPr>
            <w:tcW w:type="dxa" w:w="5256"/>
            <w:shd w:fill="EEF2FF"/>
            <w:vAlign w:val="center"/>
          </w:tcPr>
          <w:p>
            <w:r/>
            <w:r>
              <w:rPr>
                <w:b/>
                <w:color w:val="243BDB"/>
                <w:sz w:val="17"/>
              </w:rPr>
              <w:t>POST /reports/{scan_id}</w:t>
            </w:r>
          </w:p>
        </w:tc>
        <w:tc>
          <w:tcPr>
            <w:tcW w:type="dxa" w:w="5256"/>
            <w:shd w:fill="F8FAFC"/>
            <w:vAlign w:val="center"/>
          </w:tcPr>
          <w:p>
            <w:r/>
            <w:r>
              <w:rPr>
                <w:b w:val="0"/>
                <w:sz w:val="17"/>
              </w:rPr>
              <w:t>Generate report</w:t>
            </w:r>
          </w:p>
        </w:tc>
      </w:tr>
      <w:tr>
        <w:tc>
          <w:tcPr>
            <w:tcW w:type="dxa" w:w="5256"/>
            <w:shd w:fill="EEF2FF"/>
            <w:vAlign w:val="center"/>
          </w:tcPr>
          <w:p>
            <w:r/>
            <w:r>
              <w:rPr>
                <w:b/>
                <w:color w:val="243BDB"/>
                <w:sz w:val="17"/>
              </w:rPr>
              <w:t>GET /reports/{id}</w:t>
            </w:r>
          </w:p>
        </w:tc>
        <w:tc>
          <w:tcPr>
            <w:tcW w:type="dxa" w:w="5256"/>
            <w:shd w:fill="F8FAFC"/>
            <w:vAlign w:val="center"/>
          </w:tcPr>
          <w:p>
            <w:r/>
            <w:r>
              <w:rPr>
                <w:b w:val="0"/>
                <w:sz w:val="17"/>
              </w:rPr>
              <w:t>Get report</w:t>
            </w:r>
          </w:p>
        </w:tc>
      </w:tr>
      <w:tr>
        <w:tc>
          <w:tcPr>
            <w:tcW w:type="dxa" w:w="5256"/>
            <w:shd w:fill="EEF2FF"/>
            <w:vAlign w:val="center"/>
          </w:tcPr>
          <w:p>
            <w:r/>
            <w:r>
              <w:rPr>
                <w:b/>
                <w:color w:val="243BDB"/>
                <w:sz w:val="17"/>
              </w:rPr>
              <w:t>GET /dashboard</w:t>
            </w:r>
          </w:p>
        </w:tc>
        <w:tc>
          <w:tcPr>
            <w:tcW w:type="dxa" w:w="5256"/>
            <w:shd w:fill="F8FAFC"/>
            <w:vAlign w:val="center"/>
          </w:tcPr>
          <w:p>
            <w:r/>
            <w:r>
              <w:rPr>
                <w:b w:val="0"/>
                <w:sz w:val="17"/>
              </w:rPr>
              <w:t>KPIs + recent scans</w:t>
            </w:r>
          </w:p>
        </w:tc>
      </w:tr>
      <w:tr>
        <w:tc>
          <w:tcPr>
            <w:tcW w:type="dxa" w:w="5256"/>
            <w:shd w:fill="EEF2FF"/>
            <w:vAlign w:val="center"/>
          </w:tcPr>
          <w:p>
            <w:r/>
            <w:r>
              <w:rPr>
                <w:b/>
                <w:color w:val="243BDB"/>
                <w:sz w:val="17"/>
              </w:rPr>
              <w:t>POST /ask</w:t>
            </w:r>
          </w:p>
        </w:tc>
        <w:tc>
          <w:tcPr>
            <w:tcW w:type="dxa" w:w="5256"/>
            <w:shd w:fill="F8FAFC"/>
            <w:vAlign w:val="center"/>
          </w:tcPr>
          <w:p>
            <w:r/>
            <w:r>
              <w:rPr>
                <w:b w:val="0"/>
                <w:sz w:val="17"/>
              </w:rPr>
              <w:t>Grounded AI assistant</w:t>
            </w:r>
          </w:p>
        </w:tc>
      </w:tr>
    </w:tbl>
    <w:p>
      <w:pPr>
        <w:pStyle w:val="Heading1"/>
      </w:pPr>
      <w:r>
        <w:t>12. MVP Priorities</w:t>
      </w:r>
    </w:p>
    <w:tbl>
      <w:tblPr>
        <w:tblW w:type="auto" w:w="0"/>
        <w:jc w:val="center"/>
        <w:tblLook w:firstColumn="1" w:firstRow="1" w:lastColumn="0" w:lastRow="0" w:noHBand="0" w:noVBand="1" w:val="04A0"/>
      </w:tblPr>
      <w:tblGrid>
        <w:gridCol w:w="5256"/>
        <w:gridCol w:w="5256"/>
      </w:tblGrid>
      <w:tr>
        <w:tc>
          <w:tcPr>
            <w:tcW w:type="dxa" w:w="5256"/>
            <w:shd w:fill="18203A"/>
            <w:vAlign w:val="center"/>
          </w:tcPr>
          <w:p>
            <w:r/>
            <w:r>
              <w:rPr>
                <w:b/>
                <w:color w:val="FFFFFF"/>
                <w:sz w:val="17"/>
              </w:rPr>
              <w:t>Priority</w:t>
            </w:r>
          </w:p>
        </w:tc>
        <w:tc>
          <w:tcPr>
            <w:tcW w:type="dxa" w:w="5256"/>
            <w:shd w:fill="18203A"/>
            <w:vAlign w:val="center"/>
          </w:tcPr>
          <w:p>
            <w:r/>
            <w:r>
              <w:rPr>
                <w:b/>
                <w:color w:val="FFFFFF"/>
                <w:sz w:val="17"/>
              </w:rPr>
              <w:t>Features</w:t>
            </w:r>
          </w:p>
        </w:tc>
      </w:tr>
      <w:tr>
        <w:tc>
          <w:tcPr>
            <w:tcW w:type="dxa" w:w="5256"/>
            <w:shd w:fill="EEF2FF"/>
            <w:vAlign w:val="center"/>
          </w:tcPr>
          <w:p>
            <w:r/>
            <w:r>
              <w:rPr>
                <w:b/>
                <w:color w:val="243BDB"/>
                <w:sz w:val="17"/>
              </w:rPr>
              <w:t>P0 — Must Have</w:t>
            </w:r>
          </w:p>
        </w:tc>
        <w:tc>
          <w:tcPr>
            <w:tcW w:type="dxa" w:w="5256"/>
            <w:shd w:fill="F8FAFC"/>
            <w:vAlign w:val="center"/>
          </w:tcPr>
          <w:p>
            <w:r/>
            <w:r>
              <w:rPr>
                <w:b w:val="0"/>
                <w:sz w:val="17"/>
              </w:rPr>
              <w:t>Auth, dashboard, upload, OCR, structured extraction, category selection, curated regulatory knowledge base, compliance engine, heatmap, results, PDF report.</w:t>
            </w:r>
          </w:p>
        </w:tc>
      </w:tr>
      <w:tr>
        <w:tc>
          <w:tcPr>
            <w:tcW w:type="dxa" w:w="5256"/>
            <w:shd w:fill="EEF2FF"/>
            <w:vAlign w:val="center"/>
          </w:tcPr>
          <w:p>
            <w:r/>
            <w:r>
              <w:rPr>
                <w:b/>
                <w:color w:val="243BDB"/>
                <w:sz w:val="17"/>
              </w:rPr>
              <w:t>P1 — Should Have</w:t>
            </w:r>
          </w:p>
        </w:tc>
        <w:tc>
          <w:tcPr>
            <w:tcW w:type="dxa" w:w="5256"/>
            <w:shd w:fill="F8FAFC"/>
            <w:vAlign w:val="center"/>
          </w:tcPr>
          <w:p>
            <w:r/>
            <w:r>
              <w:rPr>
                <w:b w:val="0"/>
                <w:sz w:val="17"/>
              </w:rPr>
              <w:t>History, analytics, multi-image analysis, AI explanations, source citations, manual review/correction.</w:t>
            </w:r>
          </w:p>
        </w:tc>
      </w:tr>
      <w:tr>
        <w:tc>
          <w:tcPr>
            <w:tcW w:type="dxa" w:w="5256"/>
            <w:shd w:fill="EEF2FF"/>
            <w:vAlign w:val="center"/>
          </w:tcPr>
          <w:p>
            <w:r/>
            <w:r>
              <w:rPr>
                <w:b/>
                <w:color w:val="243BDB"/>
                <w:sz w:val="17"/>
              </w:rPr>
              <w:t>P2 — Nice to Have</w:t>
            </w:r>
          </w:p>
        </w:tc>
        <w:tc>
          <w:tcPr>
            <w:tcW w:type="dxa" w:w="5256"/>
            <w:shd w:fill="F8FAFC"/>
            <w:vAlign w:val="center"/>
          </w:tcPr>
          <w:p>
            <w:r/>
            <w:r>
              <w:rPr>
                <w:b w:val="0"/>
                <w:sz w:val="17"/>
              </w:rPr>
              <w:t>Ask PackSure, package version comparison, organization roles, advanced YOLO, consumer mode, notifications.</w:t>
            </w:r>
          </w:p>
        </w:tc>
      </w:tr>
    </w:tbl>
    <w:p>
      <w:pPr>
        <w:pStyle w:val="Heading1"/>
      </w:pPr>
      <w:r>
        <w:t>13. Team Work Division</w:t>
      </w:r>
    </w:p>
    <w:tbl>
      <w:tblPr>
        <w:tblW w:type="auto" w:w="0"/>
        <w:jc w:val="center"/>
        <w:tblLook w:firstColumn="1" w:firstRow="1" w:lastColumn="0" w:lastRow="0" w:noHBand="0" w:noVBand="1" w:val="04A0"/>
      </w:tblPr>
      <w:tblGrid>
        <w:gridCol w:w="5256"/>
        <w:gridCol w:w="5256"/>
      </w:tblGrid>
      <w:tr>
        <w:tc>
          <w:tcPr>
            <w:tcW w:type="dxa" w:w="5256"/>
            <w:shd w:fill="18203A"/>
            <w:vAlign w:val="center"/>
          </w:tcPr>
          <w:p>
            <w:r/>
            <w:r>
              <w:rPr>
                <w:b/>
                <w:color w:val="FFFFFF"/>
                <w:sz w:val="17"/>
              </w:rPr>
              <w:t>Role</w:t>
            </w:r>
          </w:p>
        </w:tc>
        <w:tc>
          <w:tcPr>
            <w:tcW w:type="dxa" w:w="5256"/>
            <w:shd w:fill="18203A"/>
            <w:vAlign w:val="center"/>
          </w:tcPr>
          <w:p>
            <w:r/>
            <w:r>
              <w:rPr>
                <w:b/>
                <w:color w:val="FFFFFF"/>
                <w:sz w:val="17"/>
              </w:rPr>
              <w:t>Responsibilities</w:t>
            </w:r>
          </w:p>
        </w:tc>
      </w:tr>
      <w:tr>
        <w:tc>
          <w:tcPr>
            <w:tcW w:type="dxa" w:w="5256"/>
            <w:shd w:fill="EEF2FF"/>
            <w:vAlign w:val="center"/>
          </w:tcPr>
          <w:p>
            <w:r/>
            <w:r>
              <w:rPr>
                <w:b/>
                <w:color w:val="243BDB"/>
                <w:sz w:val="17"/>
              </w:rPr>
              <w:t>Frontend/UI</w:t>
            </w:r>
          </w:p>
        </w:tc>
        <w:tc>
          <w:tcPr>
            <w:tcW w:type="dxa" w:w="5256"/>
            <w:shd w:fill="F8FAFC"/>
            <w:vAlign w:val="center"/>
          </w:tcPr>
          <w:p>
            <w:r/>
            <w:r>
              <w:rPr>
                <w:b w:val="0"/>
                <w:sz w:val="17"/>
              </w:rPr>
              <w:t>Next.js, design system, auth, dashboard, upload, results, heatmap, responsive UI.</w:t>
            </w:r>
          </w:p>
        </w:tc>
      </w:tr>
      <w:tr>
        <w:tc>
          <w:tcPr>
            <w:tcW w:type="dxa" w:w="5256"/>
            <w:shd w:fill="EEF2FF"/>
            <w:vAlign w:val="center"/>
          </w:tcPr>
          <w:p>
            <w:r/>
            <w:r>
              <w:rPr>
                <w:b/>
                <w:color w:val="243BDB"/>
                <w:sz w:val="17"/>
              </w:rPr>
              <w:t>AI/OCR</w:t>
            </w:r>
          </w:p>
        </w:tc>
        <w:tc>
          <w:tcPr>
            <w:tcW w:type="dxa" w:w="5256"/>
            <w:shd w:fill="F8FAFC"/>
            <w:vAlign w:val="center"/>
          </w:tcPr>
          <w:p>
            <w:r/>
            <w:r>
              <w:rPr>
                <w:b w:val="0"/>
                <w:sz w:val="17"/>
              </w:rPr>
              <w:t>Image preprocessing, PaddleOCR, bounding boxes, extraction, categorization, confidence handling.</w:t>
            </w:r>
          </w:p>
        </w:tc>
      </w:tr>
      <w:tr>
        <w:tc>
          <w:tcPr>
            <w:tcW w:type="dxa" w:w="5256"/>
            <w:shd w:fill="EEF2FF"/>
            <w:vAlign w:val="center"/>
          </w:tcPr>
          <w:p>
            <w:r/>
            <w:r>
              <w:rPr>
                <w:b/>
                <w:color w:val="243BDB"/>
                <w:sz w:val="17"/>
              </w:rPr>
              <w:t>RAG/Compliance</w:t>
            </w:r>
          </w:p>
        </w:tc>
        <w:tc>
          <w:tcPr>
            <w:tcW w:type="dxa" w:w="5256"/>
            <w:shd w:fill="F8FAFC"/>
            <w:vAlign w:val="center"/>
          </w:tcPr>
          <w:p>
            <w:r/>
            <w:r>
              <w:rPr>
                <w:b w:val="0"/>
                <w:sz w:val="17"/>
              </w:rPr>
              <w:t>Regulatory dataset, chunking, embeddings, vector search, retrieval, rule engine, evidence mapping.</w:t>
            </w:r>
          </w:p>
        </w:tc>
      </w:tr>
      <w:tr>
        <w:tc>
          <w:tcPr>
            <w:tcW w:type="dxa" w:w="5256"/>
            <w:shd w:fill="EEF2FF"/>
            <w:vAlign w:val="center"/>
          </w:tcPr>
          <w:p>
            <w:r/>
            <w:r>
              <w:rPr>
                <w:b/>
                <w:color w:val="243BDB"/>
                <w:sz w:val="17"/>
              </w:rPr>
              <w:t>Backend</w:t>
            </w:r>
          </w:p>
        </w:tc>
        <w:tc>
          <w:tcPr>
            <w:tcW w:type="dxa" w:w="5256"/>
            <w:shd w:fill="F8FAFC"/>
            <w:vAlign w:val="center"/>
          </w:tcPr>
          <w:p>
            <w:r/>
            <w:r>
              <w:rPr>
                <w:b w:val="0"/>
                <w:sz w:val="17"/>
              </w:rPr>
              <w:t>FastAPI, PostgreSQL, authentication, storage, scan state machine, APIs, PDF generation, integration.</w:t>
            </w:r>
          </w:p>
        </w:tc>
      </w:tr>
    </w:tbl>
    <w:p>
      <w:pPr>
        <w:pStyle w:val="Heading1"/>
      </w:pPr>
      <w:r>
        <w:t>14. Hackathon Demo Experience</w:t>
      </w:r>
    </w:p>
    <w:p>
      <w:pPr>
        <w:pStyle w:val="ListNumber"/>
        <w:spacing w:after="20"/>
      </w:pPr>
      <w:r>
        <w:t>Dashboard → New Scan.</w:t>
      </w:r>
    </w:p>
    <w:p>
      <w:pPr>
        <w:pStyle w:val="ListNumber"/>
        <w:spacing w:after="20"/>
      </w:pPr>
      <w:r>
        <w:t>Upload a real package image.</w:t>
      </w:r>
    </w:p>
    <w:p>
      <w:pPr>
        <w:pStyle w:val="ListNumber"/>
        <w:spacing w:after="20"/>
      </w:pPr>
      <w:r>
        <w:t>Show live AI pipeline.</w:t>
      </w:r>
    </w:p>
    <w:p>
      <w:pPr>
        <w:pStyle w:val="ListNumber"/>
        <w:spacing w:after="20"/>
      </w:pPr>
      <w:r>
        <w:t>Reveal heatmap and score.</w:t>
      </w:r>
    </w:p>
    <w:p>
      <w:pPr>
        <w:pStyle w:val="ListNumber"/>
        <w:spacing w:after="20"/>
      </w:pPr>
      <w:r>
        <w:t>Click a red/amber finding.</w:t>
      </w:r>
    </w:p>
    <w:p>
      <w:pPr>
        <w:pStyle w:val="ListNumber"/>
        <w:spacing w:after="20"/>
      </w:pPr>
      <w:r>
        <w:t>Show explanation + regulatory evidence.</w:t>
      </w:r>
    </w:p>
    <w:p>
      <w:pPr>
        <w:pStyle w:val="ListNumber"/>
        <w:spacing w:after="20"/>
      </w:pPr>
      <w:r>
        <w:t>Generate PDF report.</w:t>
      </w:r>
    </w:p>
    <w:p>
      <w:pPr>
        <w:pStyle w:val="ListNumber"/>
        <w:spacing w:after="20"/>
      </w:pPr>
      <w:r>
        <w:t>Open history to show saved scan.</w:t>
      </w:r>
    </w:p>
    <w:p>
      <w:pPr>
        <w:pStyle w:val="ListNumber"/>
        <w:spacing w:after="20"/>
      </w:pPr>
      <w:r>
        <w:t>Finish: “We don’t just read packaging—we turn it into explainable compliance intelligence.”</w:t>
      </w:r>
    </w:p>
    <w:p>
      <w:pPr>
        <w:pStyle w:val="Heading1"/>
      </w:pPr>
      <w:r>
        <w:t>15. Safety / Legal UX</w:t>
      </w:r>
    </w:p>
    <w:p>
      <w:r>
        <w:t>Place this on result and report screens: “PackSure AI provides AI-assisted preliminary screening based on submitted images, extracted data and configured regulatory sources. It is not a legally binding certification or a substitute for professional/legal review.”</w:t>
      </w:r>
    </w:p>
    <w:p>
      <w:pPr>
        <w:pStyle w:val="Heading1"/>
      </w:pPr>
      <w:r>
        <w:t>16. Final Design Direction</w:t>
      </w:r>
    </w:p>
    <w:p>
      <w:r>
        <w:t>The finished app should feel fast, clean and premium. The user should understand the result within five seconds without knowing what OCR, RAG or an LLM is. The signature interaction is the Compliance Heatmap: the package remains central while every finding can be traced visually to its location.</w:t>
      </w:r>
    </w:p>
    <w:p>
      <w:pPr>
        <w:jc w:val="center"/>
      </w:pPr>
      <w:r>
        <w:rPr>
          <w:b/>
          <w:color w:val="243BDB"/>
          <w:sz w:val="28"/>
        </w:rPr>
        <w:t>PACKSURE AI  •  Scan. Verify. Comply.</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D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3BD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