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rPr>
          <w:rFonts w:ascii="Calibri" w:cs="Calibri" w:eastAsia="Calibri" w:hAnsi="Calibri"/>
        </w:rPr>
        <w:t xml:space="preserve"/>
      </w:r>
    </w:p>
    <w:p>
      <w:pPr>
        <w:spacing w:after="200"/>
        <w:jc w:val="center"/>
      </w:pPr>
      <w:r>
        <w:rPr>
          <w:rFonts w:ascii="Calibri" w:cs="Calibri" w:eastAsia="Calibri" w:hAnsi="Calibri"/>
          <w:b/>
          <w:bCs/>
          <w:color w:val="C8AB37"/>
          <w:spacing w:val="60"/>
          <w:sz w:val="24"/>
          <w:szCs w:val="24"/>
        </w:rPr>
        <w:t xml:space="preserve">TECHNICAL PROPOSAL</w:t>
      </w:r>
    </w:p>
    <w:p>
      <w:pPr>
        <w:pBdr>
          <w:bottom w:val="single" w:color="1F3A68" w:sz="6" w:space="1"/>
        </w:pBdr>
        <w:spacing w:after="200" w:before="120"/>
      </w:pPr>
      <w:r>
        <w:rPr>
          <w:rFonts w:ascii="Calibri" w:cs="Calibri" w:eastAsia="Calibri" w:hAnsi="Calibri"/>
        </w:rPr>
        <w:t xml:space="preserve"/>
      </w:r>
    </w:p>
    <w:p>
      <w:pPr>
        <w:spacing w:after="240"/>
        <w:jc w:val="center"/>
      </w:pPr>
      <w:r>
        <w:rPr>
          <w:rFonts w:ascii="Calibri" w:cs="Calibri" w:eastAsia="Calibri" w:hAnsi="Calibri"/>
          <w:b/>
          <w:bCs/>
          <w:color w:val="1F3A68"/>
          <w:sz w:val="56"/>
          <w:szCs w:val="56"/>
        </w:rPr>
        <w:t xml:space="preserve">Innovic ERP</w:t>
      </w:r>
    </w:p>
    <w:p>
      <w:pPr>
        <w:spacing w:after="200"/>
        <w:jc w:val="center"/>
      </w:pPr>
      <w:r>
        <w:rPr>
          <w:rFonts w:ascii="Calibri" w:cs="Calibri" w:eastAsia="Calibri" w:hAnsi="Calibri"/>
          <w:color w:val="1A1A1A"/>
          <w:sz w:val="36"/>
          <w:szCs w:val="36"/>
        </w:rPr>
        <w:t xml:space="preserve">Migration to Web-Scale Architecture</w:t>
      </w:r>
    </w:p>
    <w:p>
      <w:pPr>
        <w:spacing w:after="600"/>
        <w:jc w:val="center"/>
      </w:pPr>
      <w:r>
        <w:rPr>
          <w:rFonts w:ascii="Calibri" w:cs="Calibri" w:eastAsia="Calibri" w:hAnsi="Calibri"/>
          <w:i/>
          <w:iCs/>
          <w:color w:val="555555"/>
          <w:sz w:val="24"/>
          <w:szCs w:val="24"/>
        </w:rPr>
        <w:t xml:space="preserve">From single-file HTML to production SaaS-grade platform</w:t>
      </w:r>
    </w:p>
    <w:p>
      <w:pPr>
        <w:pBdr>
          <w:bottom w:val="single" w:color="1F3A68" w:sz="6" w:space="1"/>
        </w:pBdr>
        <w:spacing w:after="200" w:before="120"/>
      </w:pPr>
      <w:r>
        <w:rPr>
          <w:rFonts w:ascii="Calibri" w:cs="Calibri" w:eastAsia="Calibri" w:hAnsi="Calibri"/>
        </w:rPr>
        <w:t xml:space="preserve"/>
      </w:r>
    </w:p>
    <w:p>
      <w:pPr>
        <w:spacing w:after="8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bCs/>
                <w:color w:val="1A1A1A"/>
                <w:sz w:val="22"/>
                <w:szCs w:val="22"/>
              </w:rPr>
              <w:t xml:space="preserve">Project</w:t>
            </w:r>
          </w:p>
        </w:tc>
        <w:tc>
          <w:tcPr>
            <w:tcW w:type="dxa" w:w="62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Innovic ERP — Architecture Migration</w:t>
            </w:r>
          </w:p>
        </w:tc>
      </w:tr>
      <w:tr>
        <w:tc>
          <w:tcPr>
            <w:tcW w:type="dxa" w:w="312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bCs/>
                <w:color w:val="1A1A1A"/>
                <w:sz w:val="22"/>
                <w:szCs w:val="22"/>
              </w:rPr>
              <w:t xml:space="preserve">Current State</w:t>
            </w:r>
          </w:p>
        </w:tc>
        <w:tc>
          <w:tcPr>
            <w:tcW w:type="dxa" w:w="62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29,000-line HTML file backed by Firebase Firestore (single-document-per-collection)</w:t>
            </w:r>
          </w:p>
        </w:tc>
      </w:tr>
      <w:tr>
        <w:tc>
          <w:tcPr>
            <w:tcW w:type="dxa" w:w="312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bCs/>
                <w:color w:val="1A1A1A"/>
                <w:sz w:val="22"/>
                <w:szCs w:val="22"/>
              </w:rPr>
              <w:t xml:space="preserve">Target State</w:t>
            </w:r>
          </w:p>
        </w:tc>
        <w:tc>
          <w:tcPr>
            <w:tcW w:type="dxa" w:w="62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React SPA + Fastify API + Supabase Postgres (Mumbai region)</w:t>
            </w:r>
          </w:p>
        </w:tc>
      </w:tr>
      <w:tr>
        <w:tc>
          <w:tcPr>
            <w:tcW w:type="dxa" w:w="312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bCs/>
                <w:color w:val="1A1A1A"/>
                <w:sz w:val="22"/>
                <w:szCs w:val="22"/>
              </w:rPr>
              <w:t xml:space="preserve">User Scale</w:t>
            </w:r>
          </w:p>
        </w:tc>
        <w:tc>
          <w:tcPr>
            <w:tcW w:type="dxa" w:w="62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15–20 concurrent users today, scales to 100 without rearchitecting</w:t>
            </w:r>
          </w:p>
        </w:tc>
      </w:tr>
      <w:tr>
        <w:tc>
          <w:tcPr>
            <w:tcW w:type="dxa" w:w="312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bCs/>
                <w:color w:val="1A1A1A"/>
                <w:sz w:val="22"/>
                <w:szCs w:val="22"/>
              </w:rPr>
              <w:t xml:space="preserve">Data Volume</w:t>
            </w:r>
          </w:p>
        </w:tc>
        <w:tc>
          <w:tcPr>
            <w:tcW w:type="dxa" w:w="62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~50 GB ultimate (5–15 GB Postgres, 35–45 GB file storage)</w:t>
            </w:r>
          </w:p>
        </w:tc>
      </w:tr>
      <w:tr>
        <w:tc>
          <w:tcPr>
            <w:tcW w:type="dxa" w:w="312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bCs/>
                <w:color w:val="1A1A1A"/>
                <w:sz w:val="22"/>
                <w:szCs w:val="22"/>
              </w:rPr>
              <w:t xml:space="preserve">Timeline</w:t>
            </w:r>
          </w:p>
        </w:tc>
        <w:tc>
          <w:tcPr>
            <w:tcW w:type="dxa" w:w="62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12 weeks, parallel-run migration (zero downtime)</w:t>
            </w:r>
          </w:p>
        </w:tc>
      </w:tr>
      <w:tr>
        <w:tc>
          <w:tcPr>
            <w:tcW w:type="dxa" w:w="312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bCs/>
                <w:color w:val="1A1A1A"/>
                <w:sz w:val="22"/>
                <w:szCs w:val="22"/>
              </w:rPr>
              <w:t xml:space="preserve">Monthly Cost</w:t>
            </w:r>
          </w:p>
        </w:tc>
        <w:tc>
          <w:tcPr>
            <w:tcW w:type="dxa" w:w="62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~₹2,800 / month (~$33 USD) at full scale</w:t>
            </w:r>
          </w:p>
        </w:tc>
      </w:tr>
      <w:tr>
        <w:tc>
          <w:tcPr>
            <w:tcW w:type="dxa" w:w="312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bCs/>
                <w:color w:val="1A1A1A"/>
                <w:sz w:val="22"/>
                <w:szCs w:val="22"/>
              </w:rPr>
              <w:t xml:space="preserve">Document Date</w:t>
            </w:r>
          </w:p>
        </w:tc>
        <w:tc>
          <w:tcPr>
            <w:tcW w:type="dxa" w:w="62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29 April 2026</w:t>
            </w:r>
          </w:p>
        </w:tc>
      </w:tr>
    </w:tbl>
    <w:p>
      <w:r>
        <w:br w:type="page"/>
      </w:r>
    </w:p>
    <w:p>
      <w:pPr>
        <w:pStyle w:val="Heading1"/>
        <w:spacing w:after="200" w:before="360"/>
      </w:pPr>
      <w:r>
        <w:rPr>
          <w:rFonts w:ascii="Calibri" w:cs="Calibri" w:eastAsia="Calibri" w:hAnsi="Calibri"/>
          <w:b/>
          <w:bCs/>
          <w:color w:val="1F3A68"/>
          <w:sz w:val="36"/>
          <w:szCs w:val="36"/>
        </w:rPr>
        <w:t xml:space="preserve">Table of Contents</w:t>
      </w:r>
    </w:p>
    <w:p>
      <w:pPr>
        <w:spacing w:after="1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c>
          <w:tcPr>
            <w:tcW w:type="dxa" w:w="720"/>
            <w:tcBorders>
              <w:top w:val="none"/>
              <w:left w:val="none"/>
              <w:bottom w:val="none"/>
              <w:right w:val="none"/>
            </w:tcBorders>
            <w:tcMar>
              <w:top w:type="dxa" w:w="60"/>
              <w:left w:type="dxa" w:w="80"/>
              <w:bottom w:type="dxa" w:w="60"/>
              <w:right w:type="dxa" w:w="80"/>
            </w:tcMar>
          </w:tcPr>
          <w:p>
            <w:r>
              <w:rPr>
                <w:rFonts w:ascii="Calibri" w:cs="Calibri" w:eastAsia="Calibri" w:hAnsi="Calibri"/>
                <w:b/>
                <w:bCs/>
                <w:color w:val="1F3A68"/>
                <w:sz w:val="22"/>
                <w:szCs w:val="22"/>
              </w:rPr>
              <w:t xml:space="preserve">1.</w:t>
            </w:r>
          </w:p>
        </w:tc>
        <w:tc>
          <w:tcPr>
            <w:tcW w:type="dxa" w:w="7920"/>
            <w:tcBorders>
              <w:top w:val="none"/>
              <w:left w:val="none"/>
              <w:bottom w:val="single" w:color="DDDDDD" w:sz="1"/>
              <w:right w:val="none"/>
            </w:tcBorders>
            <w:tcMar>
              <w:top w:type="dxa" w:w="60"/>
              <w:left w:type="dxa" w:w="80"/>
              <w:bottom w:type="dxa" w:w="60"/>
              <w:right w:type="dxa" w:w="80"/>
            </w:tcMar>
          </w:tcPr>
          <w:p>
            <w:r>
              <w:rPr>
                <w:rFonts w:ascii="Calibri" w:cs="Calibri" w:eastAsia="Calibri" w:hAnsi="Calibri"/>
                <w:color w:val="1A1A1A"/>
                <w:sz w:val="22"/>
                <w:szCs w:val="22"/>
              </w:rPr>
              <w:t xml:space="preserve">Executive Summary</w:t>
            </w:r>
          </w:p>
        </w:tc>
        <w:tc>
          <w:tcPr>
            <w:tcW w:type="dxa" w:w="720"/>
            <w:tcBorders>
              <w:top w:val="none"/>
              <w:left w:val="none"/>
              <w:bottom w:val="none"/>
              <w:right w:val="none"/>
            </w:tcBorders>
            <w:tcMar>
              <w:top w:type="dxa" w:w="60"/>
              <w:left w:type="dxa" w:w="80"/>
              <w:bottom w:type="dxa" w:w="60"/>
              <w:right w:type="dxa" w:w="80"/>
            </w:tcMar>
          </w:tcPr>
          <w:p>
            <w:pPr>
              <w:jc w:val="right"/>
            </w:pPr>
            <w:r>
              <w:rPr>
                <w:rFonts w:ascii="Calibri" w:cs="Calibri" w:eastAsia="Calibri" w:hAnsi="Calibri"/>
                <w:color w:val="555555"/>
                <w:sz w:val="22"/>
                <w:szCs w:val="22"/>
              </w:rPr>
              <w:t xml:space="preserve">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c>
          <w:tcPr>
            <w:tcW w:type="dxa" w:w="720"/>
            <w:tcBorders>
              <w:top w:val="none"/>
              <w:left w:val="none"/>
              <w:bottom w:val="none"/>
              <w:right w:val="none"/>
            </w:tcBorders>
            <w:tcMar>
              <w:top w:type="dxa" w:w="60"/>
              <w:left w:type="dxa" w:w="80"/>
              <w:bottom w:type="dxa" w:w="60"/>
              <w:right w:type="dxa" w:w="80"/>
            </w:tcMar>
          </w:tcPr>
          <w:p>
            <w:r>
              <w:rPr>
                <w:rFonts w:ascii="Calibri" w:cs="Calibri" w:eastAsia="Calibri" w:hAnsi="Calibri"/>
                <w:b/>
                <w:bCs/>
                <w:color w:val="1F3A68"/>
                <w:sz w:val="22"/>
                <w:szCs w:val="22"/>
              </w:rPr>
              <w:t xml:space="preserve">2.</w:t>
            </w:r>
          </w:p>
        </w:tc>
        <w:tc>
          <w:tcPr>
            <w:tcW w:type="dxa" w:w="7920"/>
            <w:tcBorders>
              <w:top w:val="none"/>
              <w:left w:val="none"/>
              <w:bottom w:val="single" w:color="DDDDDD" w:sz="1"/>
              <w:right w:val="none"/>
            </w:tcBorders>
            <w:tcMar>
              <w:top w:type="dxa" w:w="60"/>
              <w:left w:type="dxa" w:w="80"/>
              <w:bottom w:type="dxa" w:w="60"/>
              <w:right w:type="dxa" w:w="80"/>
            </w:tcMar>
          </w:tcPr>
          <w:p>
            <w:r>
              <w:rPr>
                <w:rFonts w:ascii="Calibri" w:cs="Calibri" w:eastAsia="Calibri" w:hAnsi="Calibri"/>
                <w:color w:val="1A1A1A"/>
                <w:sz w:val="22"/>
                <w:szCs w:val="22"/>
              </w:rPr>
              <w:t xml:space="preserve">Current System Diagnosis</w:t>
            </w:r>
          </w:p>
        </w:tc>
        <w:tc>
          <w:tcPr>
            <w:tcW w:type="dxa" w:w="720"/>
            <w:tcBorders>
              <w:top w:val="none"/>
              <w:left w:val="none"/>
              <w:bottom w:val="none"/>
              <w:right w:val="none"/>
            </w:tcBorders>
            <w:tcMar>
              <w:top w:type="dxa" w:w="60"/>
              <w:left w:type="dxa" w:w="80"/>
              <w:bottom w:type="dxa" w:w="60"/>
              <w:right w:type="dxa" w:w="80"/>
            </w:tcMar>
          </w:tcPr>
          <w:p>
            <w:pPr>
              <w:jc w:val="right"/>
            </w:pPr>
            <w:r>
              <w:rPr>
                <w:rFonts w:ascii="Calibri" w:cs="Calibri" w:eastAsia="Calibri" w:hAnsi="Calibri"/>
                <w:color w:val="555555"/>
                <w:sz w:val="22"/>
                <w:szCs w:val="22"/>
              </w:rPr>
              <w:t xml:space="preserve">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c>
          <w:tcPr>
            <w:tcW w:type="dxa" w:w="720"/>
            <w:tcBorders>
              <w:top w:val="none"/>
              <w:left w:val="none"/>
              <w:bottom w:val="none"/>
              <w:right w:val="none"/>
            </w:tcBorders>
            <w:tcMar>
              <w:top w:type="dxa" w:w="60"/>
              <w:left w:type="dxa" w:w="80"/>
              <w:bottom w:type="dxa" w:w="60"/>
              <w:right w:type="dxa" w:w="80"/>
            </w:tcMar>
          </w:tcPr>
          <w:p>
            <w:r>
              <w:rPr>
                <w:rFonts w:ascii="Calibri" w:cs="Calibri" w:eastAsia="Calibri" w:hAnsi="Calibri"/>
                <w:b/>
                <w:bCs/>
                <w:color w:val="1F3A68"/>
                <w:sz w:val="22"/>
                <w:szCs w:val="22"/>
              </w:rPr>
              <w:t xml:space="preserve">3.</w:t>
            </w:r>
          </w:p>
        </w:tc>
        <w:tc>
          <w:tcPr>
            <w:tcW w:type="dxa" w:w="7920"/>
            <w:tcBorders>
              <w:top w:val="none"/>
              <w:left w:val="none"/>
              <w:bottom w:val="single" w:color="DDDDDD" w:sz="1"/>
              <w:right w:val="none"/>
            </w:tcBorders>
            <w:tcMar>
              <w:top w:type="dxa" w:w="60"/>
              <w:left w:type="dxa" w:w="80"/>
              <w:bottom w:type="dxa" w:w="60"/>
              <w:right w:type="dxa" w:w="80"/>
            </w:tcMar>
          </w:tcPr>
          <w:p>
            <w:r>
              <w:rPr>
                <w:rFonts w:ascii="Calibri" w:cs="Calibri" w:eastAsia="Calibri" w:hAnsi="Calibri"/>
                <w:color w:val="1A1A1A"/>
                <w:sz w:val="22"/>
                <w:szCs w:val="22"/>
              </w:rPr>
              <w:t xml:space="preserve">Target Architecture</w:t>
            </w:r>
          </w:p>
        </w:tc>
        <w:tc>
          <w:tcPr>
            <w:tcW w:type="dxa" w:w="720"/>
            <w:tcBorders>
              <w:top w:val="none"/>
              <w:left w:val="none"/>
              <w:bottom w:val="none"/>
              <w:right w:val="none"/>
            </w:tcBorders>
            <w:tcMar>
              <w:top w:type="dxa" w:w="60"/>
              <w:left w:type="dxa" w:w="80"/>
              <w:bottom w:type="dxa" w:w="60"/>
              <w:right w:type="dxa" w:w="80"/>
            </w:tcMar>
          </w:tcPr>
          <w:p>
            <w:pPr>
              <w:jc w:val="right"/>
            </w:pPr>
            <w:r>
              <w:rPr>
                <w:rFonts w:ascii="Calibri" w:cs="Calibri" w:eastAsia="Calibri" w:hAnsi="Calibri"/>
                <w:color w:val="555555"/>
                <w:sz w:val="22"/>
                <w:szCs w:val="22"/>
              </w:rPr>
              <w:t xml:space="preserve">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c>
          <w:tcPr>
            <w:tcW w:type="dxa" w:w="720"/>
            <w:tcBorders>
              <w:top w:val="none"/>
              <w:left w:val="none"/>
              <w:bottom w:val="none"/>
              <w:right w:val="none"/>
            </w:tcBorders>
            <w:tcMar>
              <w:top w:type="dxa" w:w="60"/>
              <w:left w:type="dxa" w:w="80"/>
              <w:bottom w:type="dxa" w:w="60"/>
              <w:right w:type="dxa" w:w="80"/>
            </w:tcMar>
          </w:tcPr>
          <w:p>
            <w:r>
              <w:rPr>
                <w:rFonts w:ascii="Calibri" w:cs="Calibri" w:eastAsia="Calibri" w:hAnsi="Calibri"/>
                <w:b/>
                <w:bCs/>
                <w:color w:val="1F3A68"/>
                <w:sz w:val="22"/>
                <w:szCs w:val="22"/>
              </w:rPr>
              <w:t xml:space="preserve">4.</w:t>
            </w:r>
          </w:p>
        </w:tc>
        <w:tc>
          <w:tcPr>
            <w:tcW w:type="dxa" w:w="7920"/>
            <w:tcBorders>
              <w:top w:val="none"/>
              <w:left w:val="none"/>
              <w:bottom w:val="single" w:color="DDDDDD" w:sz="1"/>
              <w:right w:val="none"/>
            </w:tcBorders>
            <w:tcMar>
              <w:top w:type="dxa" w:w="60"/>
              <w:left w:type="dxa" w:w="80"/>
              <w:bottom w:type="dxa" w:w="60"/>
              <w:right w:type="dxa" w:w="80"/>
            </w:tcMar>
          </w:tcPr>
          <w:p>
            <w:r>
              <w:rPr>
                <w:rFonts w:ascii="Calibri" w:cs="Calibri" w:eastAsia="Calibri" w:hAnsi="Calibri"/>
                <w:color w:val="1A1A1A"/>
                <w:sz w:val="22"/>
                <w:szCs w:val="22"/>
              </w:rPr>
              <w:t xml:space="preserve">Why Supabase (Decision Rationale)</w:t>
            </w:r>
          </w:p>
        </w:tc>
        <w:tc>
          <w:tcPr>
            <w:tcW w:type="dxa" w:w="720"/>
            <w:tcBorders>
              <w:top w:val="none"/>
              <w:left w:val="none"/>
              <w:bottom w:val="none"/>
              <w:right w:val="none"/>
            </w:tcBorders>
            <w:tcMar>
              <w:top w:type="dxa" w:w="60"/>
              <w:left w:type="dxa" w:w="80"/>
              <w:bottom w:type="dxa" w:w="60"/>
              <w:right w:type="dxa" w:w="80"/>
            </w:tcMar>
          </w:tcPr>
          <w:p>
            <w:pPr>
              <w:jc w:val="right"/>
            </w:pPr>
            <w:r>
              <w:rPr>
                <w:rFonts w:ascii="Calibri" w:cs="Calibri" w:eastAsia="Calibri" w:hAnsi="Calibri"/>
                <w:color w:val="555555"/>
                <w:sz w:val="22"/>
                <w:szCs w:val="22"/>
              </w:rPr>
              <w:t xml:space="preserve">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c>
          <w:tcPr>
            <w:tcW w:type="dxa" w:w="720"/>
            <w:tcBorders>
              <w:top w:val="none"/>
              <w:left w:val="none"/>
              <w:bottom w:val="none"/>
              <w:right w:val="none"/>
            </w:tcBorders>
            <w:tcMar>
              <w:top w:type="dxa" w:w="60"/>
              <w:left w:type="dxa" w:w="80"/>
              <w:bottom w:type="dxa" w:w="60"/>
              <w:right w:type="dxa" w:w="80"/>
            </w:tcMar>
          </w:tcPr>
          <w:p>
            <w:r>
              <w:rPr>
                <w:rFonts w:ascii="Calibri" w:cs="Calibri" w:eastAsia="Calibri" w:hAnsi="Calibri"/>
                <w:b/>
                <w:bCs/>
                <w:color w:val="1F3A68"/>
                <w:sz w:val="22"/>
                <w:szCs w:val="22"/>
              </w:rPr>
              <w:t xml:space="preserve">5.</w:t>
            </w:r>
          </w:p>
        </w:tc>
        <w:tc>
          <w:tcPr>
            <w:tcW w:type="dxa" w:w="7920"/>
            <w:tcBorders>
              <w:top w:val="none"/>
              <w:left w:val="none"/>
              <w:bottom w:val="single" w:color="DDDDDD" w:sz="1"/>
              <w:right w:val="none"/>
            </w:tcBorders>
            <w:tcMar>
              <w:top w:type="dxa" w:w="60"/>
              <w:left w:type="dxa" w:w="80"/>
              <w:bottom w:type="dxa" w:w="60"/>
              <w:right w:type="dxa" w:w="80"/>
            </w:tcMar>
          </w:tcPr>
          <w:p>
            <w:r>
              <w:rPr>
                <w:rFonts w:ascii="Calibri" w:cs="Calibri" w:eastAsia="Calibri" w:hAnsi="Calibri"/>
                <w:color w:val="1A1A1A"/>
                <w:sz w:val="22"/>
                <w:szCs w:val="22"/>
              </w:rPr>
              <w:t xml:space="preserve">Database Schema Design</w:t>
            </w:r>
          </w:p>
        </w:tc>
        <w:tc>
          <w:tcPr>
            <w:tcW w:type="dxa" w:w="720"/>
            <w:tcBorders>
              <w:top w:val="none"/>
              <w:left w:val="none"/>
              <w:bottom w:val="none"/>
              <w:right w:val="none"/>
            </w:tcBorders>
            <w:tcMar>
              <w:top w:type="dxa" w:w="60"/>
              <w:left w:type="dxa" w:w="80"/>
              <w:bottom w:type="dxa" w:w="60"/>
              <w:right w:type="dxa" w:w="80"/>
            </w:tcMar>
          </w:tcPr>
          <w:p>
            <w:pPr>
              <w:jc w:val="right"/>
            </w:pPr>
            <w:r>
              <w:rPr>
                <w:rFonts w:ascii="Calibri" w:cs="Calibri" w:eastAsia="Calibri" w:hAnsi="Calibri"/>
                <w:color w:val="555555"/>
                <w:sz w:val="22"/>
                <w:szCs w:val="22"/>
              </w:rPr>
              <w:t xml:space="preserve">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c>
          <w:tcPr>
            <w:tcW w:type="dxa" w:w="720"/>
            <w:tcBorders>
              <w:top w:val="none"/>
              <w:left w:val="none"/>
              <w:bottom w:val="none"/>
              <w:right w:val="none"/>
            </w:tcBorders>
            <w:tcMar>
              <w:top w:type="dxa" w:w="60"/>
              <w:left w:type="dxa" w:w="80"/>
              <w:bottom w:type="dxa" w:w="60"/>
              <w:right w:type="dxa" w:w="80"/>
            </w:tcMar>
          </w:tcPr>
          <w:p>
            <w:r>
              <w:rPr>
                <w:rFonts w:ascii="Calibri" w:cs="Calibri" w:eastAsia="Calibri" w:hAnsi="Calibri"/>
                <w:b/>
                <w:bCs/>
                <w:color w:val="1F3A68"/>
                <w:sz w:val="22"/>
                <w:szCs w:val="22"/>
              </w:rPr>
              <w:t xml:space="preserve">6.</w:t>
            </w:r>
          </w:p>
        </w:tc>
        <w:tc>
          <w:tcPr>
            <w:tcW w:type="dxa" w:w="7920"/>
            <w:tcBorders>
              <w:top w:val="none"/>
              <w:left w:val="none"/>
              <w:bottom w:val="single" w:color="DDDDDD" w:sz="1"/>
              <w:right w:val="none"/>
            </w:tcBorders>
            <w:tcMar>
              <w:top w:type="dxa" w:w="60"/>
              <w:left w:type="dxa" w:w="80"/>
              <w:bottom w:type="dxa" w:w="60"/>
              <w:right w:type="dxa" w:w="80"/>
            </w:tcMar>
          </w:tcPr>
          <w:p>
            <w:r>
              <w:rPr>
                <w:rFonts w:ascii="Calibri" w:cs="Calibri" w:eastAsia="Calibri" w:hAnsi="Calibri"/>
                <w:color w:val="1A1A1A"/>
                <w:sz w:val="22"/>
                <w:szCs w:val="22"/>
              </w:rPr>
              <w:t xml:space="preserve">Migration Plan — 12 Week Roadmap</w:t>
            </w:r>
          </w:p>
        </w:tc>
        <w:tc>
          <w:tcPr>
            <w:tcW w:type="dxa" w:w="720"/>
            <w:tcBorders>
              <w:top w:val="none"/>
              <w:left w:val="none"/>
              <w:bottom w:val="none"/>
              <w:right w:val="none"/>
            </w:tcBorders>
            <w:tcMar>
              <w:top w:type="dxa" w:w="60"/>
              <w:left w:type="dxa" w:w="80"/>
              <w:bottom w:type="dxa" w:w="60"/>
              <w:right w:type="dxa" w:w="80"/>
            </w:tcMar>
          </w:tcPr>
          <w:p>
            <w:pPr>
              <w:jc w:val="right"/>
            </w:pPr>
            <w:r>
              <w:rPr>
                <w:rFonts w:ascii="Calibri" w:cs="Calibri" w:eastAsia="Calibri" w:hAnsi="Calibri"/>
                <w:color w:val="555555"/>
                <w:sz w:val="22"/>
                <w:szCs w:val="22"/>
              </w:rPr>
              <w:t xml:space="preserve">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c>
          <w:tcPr>
            <w:tcW w:type="dxa" w:w="720"/>
            <w:tcBorders>
              <w:top w:val="none"/>
              <w:left w:val="none"/>
              <w:bottom w:val="none"/>
              <w:right w:val="none"/>
            </w:tcBorders>
            <w:tcMar>
              <w:top w:type="dxa" w:w="60"/>
              <w:left w:type="dxa" w:w="80"/>
              <w:bottom w:type="dxa" w:w="60"/>
              <w:right w:type="dxa" w:w="80"/>
            </w:tcMar>
          </w:tcPr>
          <w:p>
            <w:r>
              <w:rPr>
                <w:rFonts w:ascii="Calibri" w:cs="Calibri" w:eastAsia="Calibri" w:hAnsi="Calibri"/>
                <w:b/>
                <w:bCs/>
                <w:color w:val="1F3A68"/>
                <w:sz w:val="22"/>
                <w:szCs w:val="22"/>
              </w:rPr>
              <w:t xml:space="preserve">7.</w:t>
            </w:r>
          </w:p>
        </w:tc>
        <w:tc>
          <w:tcPr>
            <w:tcW w:type="dxa" w:w="7920"/>
            <w:tcBorders>
              <w:top w:val="none"/>
              <w:left w:val="none"/>
              <w:bottom w:val="single" w:color="DDDDDD" w:sz="1"/>
              <w:right w:val="none"/>
            </w:tcBorders>
            <w:tcMar>
              <w:top w:type="dxa" w:w="60"/>
              <w:left w:type="dxa" w:w="80"/>
              <w:bottom w:type="dxa" w:w="60"/>
              <w:right w:type="dxa" w:w="80"/>
            </w:tcMar>
          </w:tcPr>
          <w:p>
            <w:r>
              <w:rPr>
                <w:rFonts w:ascii="Calibri" w:cs="Calibri" w:eastAsia="Calibri" w:hAnsi="Calibri"/>
                <w:color w:val="1A1A1A"/>
                <w:sz w:val="22"/>
                <w:szCs w:val="22"/>
              </w:rPr>
              <w:t xml:space="preserve">Cost Breakdown</w:t>
            </w:r>
          </w:p>
        </w:tc>
        <w:tc>
          <w:tcPr>
            <w:tcW w:type="dxa" w:w="720"/>
            <w:tcBorders>
              <w:top w:val="none"/>
              <w:left w:val="none"/>
              <w:bottom w:val="none"/>
              <w:right w:val="none"/>
            </w:tcBorders>
            <w:tcMar>
              <w:top w:type="dxa" w:w="60"/>
              <w:left w:type="dxa" w:w="80"/>
              <w:bottom w:type="dxa" w:w="60"/>
              <w:right w:type="dxa" w:w="80"/>
            </w:tcMar>
          </w:tcPr>
          <w:p>
            <w:pPr>
              <w:jc w:val="right"/>
            </w:pPr>
            <w:r>
              <w:rPr>
                <w:rFonts w:ascii="Calibri" w:cs="Calibri" w:eastAsia="Calibri" w:hAnsi="Calibri"/>
                <w:color w:val="555555"/>
                <w:sz w:val="22"/>
                <w:szCs w:val="22"/>
              </w:rPr>
              <w:t xml:space="preserve">13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c>
          <w:tcPr>
            <w:tcW w:type="dxa" w:w="720"/>
            <w:tcBorders>
              <w:top w:val="none"/>
              <w:left w:val="none"/>
              <w:bottom w:val="none"/>
              <w:right w:val="none"/>
            </w:tcBorders>
            <w:tcMar>
              <w:top w:type="dxa" w:w="60"/>
              <w:left w:type="dxa" w:w="80"/>
              <w:bottom w:type="dxa" w:w="60"/>
              <w:right w:type="dxa" w:w="80"/>
            </w:tcMar>
          </w:tcPr>
          <w:p>
            <w:r>
              <w:rPr>
                <w:rFonts w:ascii="Calibri" w:cs="Calibri" w:eastAsia="Calibri" w:hAnsi="Calibri"/>
                <w:b/>
                <w:bCs/>
                <w:color w:val="1F3A68"/>
                <w:sz w:val="22"/>
                <w:szCs w:val="22"/>
              </w:rPr>
              <w:t xml:space="preserve">8.</w:t>
            </w:r>
          </w:p>
        </w:tc>
        <w:tc>
          <w:tcPr>
            <w:tcW w:type="dxa" w:w="7920"/>
            <w:tcBorders>
              <w:top w:val="none"/>
              <w:left w:val="none"/>
              <w:bottom w:val="single" w:color="DDDDDD" w:sz="1"/>
              <w:right w:val="none"/>
            </w:tcBorders>
            <w:tcMar>
              <w:top w:type="dxa" w:w="60"/>
              <w:left w:type="dxa" w:w="80"/>
              <w:bottom w:type="dxa" w:w="60"/>
              <w:right w:type="dxa" w:w="80"/>
            </w:tcMar>
          </w:tcPr>
          <w:p>
            <w:r>
              <w:rPr>
                <w:rFonts w:ascii="Calibri" w:cs="Calibri" w:eastAsia="Calibri" w:hAnsi="Calibri"/>
                <w:color w:val="1A1A1A"/>
                <w:sz w:val="22"/>
                <w:szCs w:val="22"/>
              </w:rPr>
              <w:t xml:space="preserve">Operating Rules (Non-Negotiable)</w:t>
            </w:r>
          </w:p>
        </w:tc>
        <w:tc>
          <w:tcPr>
            <w:tcW w:type="dxa" w:w="720"/>
            <w:tcBorders>
              <w:top w:val="none"/>
              <w:left w:val="none"/>
              <w:bottom w:val="none"/>
              <w:right w:val="none"/>
            </w:tcBorders>
            <w:tcMar>
              <w:top w:type="dxa" w:w="60"/>
              <w:left w:type="dxa" w:w="80"/>
              <w:bottom w:type="dxa" w:w="60"/>
              <w:right w:type="dxa" w:w="80"/>
            </w:tcMar>
          </w:tcPr>
          <w:p>
            <w:pPr>
              <w:jc w:val="right"/>
            </w:pPr>
            <w:r>
              <w:rPr>
                <w:rFonts w:ascii="Calibri" w:cs="Calibri" w:eastAsia="Calibri" w:hAnsi="Calibri"/>
                <w:color w:val="555555"/>
                <w:sz w:val="22"/>
                <w:szCs w:val="22"/>
              </w:rPr>
              <w:t xml:space="preserve">14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c>
          <w:tcPr>
            <w:tcW w:type="dxa" w:w="720"/>
            <w:tcBorders>
              <w:top w:val="none"/>
              <w:left w:val="none"/>
              <w:bottom w:val="none"/>
              <w:right w:val="none"/>
            </w:tcBorders>
            <w:tcMar>
              <w:top w:type="dxa" w:w="60"/>
              <w:left w:type="dxa" w:w="80"/>
              <w:bottom w:type="dxa" w:w="60"/>
              <w:right w:type="dxa" w:w="80"/>
            </w:tcMar>
          </w:tcPr>
          <w:p>
            <w:r>
              <w:rPr>
                <w:rFonts w:ascii="Calibri" w:cs="Calibri" w:eastAsia="Calibri" w:hAnsi="Calibri"/>
                <w:b/>
                <w:bCs/>
                <w:color w:val="1F3A68"/>
                <w:sz w:val="22"/>
                <w:szCs w:val="22"/>
              </w:rPr>
              <w:t xml:space="preserve">9.</w:t>
            </w:r>
          </w:p>
        </w:tc>
        <w:tc>
          <w:tcPr>
            <w:tcW w:type="dxa" w:w="7920"/>
            <w:tcBorders>
              <w:top w:val="none"/>
              <w:left w:val="none"/>
              <w:bottom w:val="single" w:color="DDDDDD" w:sz="1"/>
              <w:right w:val="none"/>
            </w:tcBorders>
            <w:tcMar>
              <w:top w:type="dxa" w:w="60"/>
              <w:left w:type="dxa" w:w="80"/>
              <w:bottom w:type="dxa" w:w="60"/>
              <w:right w:type="dxa" w:w="80"/>
            </w:tcMar>
          </w:tcPr>
          <w:p>
            <w:r>
              <w:rPr>
                <w:rFonts w:ascii="Calibri" w:cs="Calibri" w:eastAsia="Calibri" w:hAnsi="Calibri"/>
                <w:color w:val="1A1A1A"/>
                <w:sz w:val="22"/>
                <w:szCs w:val="22"/>
              </w:rPr>
              <w:t xml:space="preserve">Risks &amp; Mitigation</w:t>
            </w:r>
          </w:p>
        </w:tc>
        <w:tc>
          <w:tcPr>
            <w:tcW w:type="dxa" w:w="720"/>
            <w:tcBorders>
              <w:top w:val="none"/>
              <w:left w:val="none"/>
              <w:bottom w:val="none"/>
              <w:right w:val="none"/>
            </w:tcBorders>
            <w:tcMar>
              <w:top w:type="dxa" w:w="60"/>
              <w:left w:type="dxa" w:w="80"/>
              <w:bottom w:type="dxa" w:w="60"/>
              <w:right w:type="dxa" w:w="80"/>
            </w:tcMar>
          </w:tcPr>
          <w:p>
            <w:pPr>
              <w:jc w:val="right"/>
            </w:pPr>
            <w:r>
              <w:rPr>
                <w:rFonts w:ascii="Calibri" w:cs="Calibri" w:eastAsia="Calibri" w:hAnsi="Calibri"/>
                <w:color w:val="555555"/>
                <w:sz w:val="22"/>
                <w:szCs w:val="22"/>
              </w:rPr>
              <w:t xml:space="preserve">15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c>
          <w:tcPr>
            <w:tcW w:type="dxa" w:w="720"/>
            <w:tcBorders>
              <w:top w:val="none"/>
              <w:left w:val="none"/>
              <w:bottom w:val="none"/>
              <w:right w:val="none"/>
            </w:tcBorders>
            <w:tcMar>
              <w:top w:type="dxa" w:w="60"/>
              <w:left w:type="dxa" w:w="80"/>
              <w:bottom w:type="dxa" w:w="60"/>
              <w:right w:type="dxa" w:w="80"/>
            </w:tcMar>
          </w:tcPr>
          <w:p>
            <w:r>
              <w:rPr>
                <w:rFonts w:ascii="Calibri" w:cs="Calibri" w:eastAsia="Calibri" w:hAnsi="Calibri"/>
                <w:b/>
                <w:bCs/>
                <w:color w:val="1F3A68"/>
                <w:sz w:val="22"/>
                <w:szCs w:val="22"/>
              </w:rPr>
              <w:t xml:space="preserve">10.</w:t>
            </w:r>
          </w:p>
        </w:tc>
        <w:tc>
          <w:tcPr>
            <w:tcW w:type="dxa" w:w="7920"/>
            <w:tcBorders>
              <w:top w:val="none"/>
              <w:left w:val="none"/>
              <w:bottom w:val="single" w:color="DDDDDD" w:sz="1"/>
              <w:right w:val="none"/>
            </w:tcBorders>
            <w:tcMar>
              <w:top w:type="dxa" w:w="60"/>
              <w:left w:type="dxa" w:w="80"/>
              <w:bottom w:type="dxa" w:w="60"/>
              <w:right w:type="dxa" w:w="80"/>
            </w:tcMar>
          </w:tcPr>
          <w:p>
            <w:r>
              <w:rPr>
                <w:rFonts w:ascii="Calibri" w:cs="Calibri" w:eastAsia="Calibri" w:hAnsi="Calibri"/>
                <w:color w:val="1A1A1A"/>
                <w:sz w:val="22"/>
                <w:szCs w:val="22"/>
              </w:rPr>
              <w:t xml:space="preserve">Deliverables &amp; Acceptance Criteria</w:t>
            </w:r>
          </w:p>
        </w:tc>
        <w:tc>
          <w:tcPr>
            <w:tcW w:type="dxa" w:w="720"/>
            <w:tcBorders>
              <w:top w:val="none"/>
              <w:left w:val="none"/>
              <w:bottom w:val="none"/>
              <w:right w:val="none"/>
            </w:tcBorders>
            <w:tcMar>
              <w:top w:type="dxa" w:w="60"/>
              <w:left w:type="dxa" w:w="80"/>
              <w:bottom w:type="dxa" w:w="60"/>
              <w:right w:type="dxa" w:w="80"/>
            </w:tcMar>
          </w:tcPr>
          <w:p>
            <w:pPr>
              <w:jc w:val="right"/>
            </w:pPr>
            <w:r>
              <w:rPr>
                <w:rFonts w:ascii="Calibri" w:cs="Calibri" w:eastAsia="Calibri" w:hAnsi="Calibri"/>
                <w:color w:val="555555"/>
                <w:sz w:val="22"/>
                <w:szCs w:val="22"/>
              </w:rPr>
              <w:t xml:space="preserve">16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c>
          <w:tcPr>
            <w:tcW w:type="dxa" w:w="720"/>
            <w:tcBorders>
              <w:top w:val="none"/>
              <w:left w:val="none"/>
              <w:bottom w:val="none"/>
              <w:right w:val="none"/>
            </w:tcBorders>
            <w:tcMar>
              <w:top w:type="dxa" w:w="60"/>
              <w:left w:type="dxa" w:w="80"/>
              <w:bottom w:type="dxa" w:w="60"/>
              <w:right w:type="dxa" w:w="80"/>
            </w:tcMar>
          </w:tcPr>
          <w:p>
            <w:r>
              <w:rPr>
                <w:rFonts w:ascii="Calibri" w:cs="Calibri" w:eastAsia="Calibri" w:hAnsi="Calibri"/>
                <w:b/>
                <w:bCs/>
                <w:color w:val="1F3A68"/>
                <w:sz w:val="22"/>
                <w:szCs w:val="22"/>
              </w:rPr>
              <w:t xml:space="preserve">11.</w:t>
            </w:r>
          </w:p>
        </w:tc>
        <w:tc>
          <w:tcPr>
            <w:tcW w:type="dxa" w:w="7920"/>
            <w:tcBorders>
              <w:top w:val="none"/>
              <w:left w:val="none"/>
              <w:bottom w:val="single" w:color="DDDDDD" w:sz="1"/>
              <w:right w:val="none"/>
            </w:tcBorders>
            <w:tcMar>
              <w:top w:type="dxa" w:w="60"/>
              <w:left w:type="dxa" w:w="80"/>
              <w:bottom w:type="dxa" w:w="60"/>
              <w:right w:type="dxa" w:w="80"/>
            </w:tcMar>
          </w:tcPr>
          <w:p>
            <w:r>
              <w:rPr>
                <w:rFonts w:ascii="Calibri" w:cs="Calibri" w:eastAsia="Calibri" w:hAnsi="Calibri"/>
                <w:color w:val="1A1A1A"/>
                <w:sz w:val="22"/>
                <w:szCs w:val="22"/>
              </w:rPr>
              <w:t xml:space="preserve">Next Steps</w:t>
            </w:r>
          </w:p>
        </w:tc>
        <w:tc>
          <w:tcPr>
            <w:tcW w:type="dxa" w:w="720"/>
            <w:tcBorders>
              <w:top w:val="none"/>
              <w:left w:val="none"/>
              <w:bottom w:val="none"/>
              <w:right w:val="none"/>
            </w:tcBorders>
            <w:tcMar>
              <w:top w:type="dxa" w:w="60"/>
              <w:left w:type="dxa" w:w="80"/>
              <w:bottom w:type="dxa" w:w="60"/>
              <w:right w:type="dxa" w:w="80"/>
            </w:tcMar>
          </w:tcPr>
          <w:p>
            <w:pPr>
              <w:jc w:val="right"/>
            </w:pPr>
            <w:r>
              <w:rPr>
                <w:rFonts w:ascii="Calibri" w:cs="Calibri" w:eastAsia="Calibri" w:hAnsi="Calibri"/>
                <w:color w:val="555555"/>
                <w:sz w:val="22"/>
                <w:szCs w:val="22"/>
              </w:rPr>
              <w:t xml:space="preserve">17</w:t>
            </w:r>
          </w:p>
        </w:tc>
      </w:tr>
    </w:tbl>
    <w:p>
      <w:r>
        <w:br w:type="page"/>
      </w:r>
    </w:p>
    <w:p>
      <w:pPr>
        <w:pStyle w:val="Heading1"/>
        <w:spacing w:after="200" w:before="360"/>
      </w:pPr>
      <w:r>
        <w:rPr>
          <w:rFonts w:ascii="Calibri" w:cs="Calibri" w:eastAsia="Calibri" w:hAnsi="Calibri"/>
          <w:b/>
          <w:bCs/>
          <w:color w:val="1F3A68"/>
          <w:sz w:val="36"/>
          <w:szCs w:val="36"/>
        </w:rPr>
        <w:t xml:space="preserve">1. Executive Summary</w:t>
      </w:r>
    </w:p>
    <w:p>
      <w:pPr>
        <w:spacing w:after="160" w:before="0"/>
        <w:jc w:val="left"/>
      </w:pPr>
      <w:r>
        <w:rPr>
          <w:rFonts w:ascii="Calibri" w:cs="Calibri" w:eastAsia="Calibri" w:hAnsi="Calibri"/>
          <w:b w:val="false"/>
          <w:bCs w:val="false"/>
          <w:i w:val="false"/>
          <w:iCs w:val="false"/>
          <w:color w:val="1A1A1A"/>
          <w:sz w:val="22"/>
          <w:szCs w:val="22"/>
        </w:rPr>
        <w:t xml:space="preserve">Innovic ERP today is a single 29,000-line HTML file backed by Firebase Firestore. While functional for its current users, the underlying data architecture has a structural concurrency flaw: every collection is stored as a single JSON-serialized document, which means the entire dataset of any module is rewritten every time any user edits any record. At 10–15 concurrent users this manifests as silent data loss, performance degradation, and a hard 1 MB per-collection ceiling that will be hit within 6–12 months at current growth.</w:t>
      </w:r>
    </w:p>
    <w:p>
      <w:pPr>
        <w:spacing w:after="200" w:before="0"/>
        <w:jc w:val="left"/>
      </w:pPr>
      <w:r>
        <w:rPr>
          <w:rFonts w:ascii="Calibri" w:cs="Calibri" w:eastAsia="Calibri" w:hAnsi="Calibri"/>
          <w:b w:val="false"/>
          <w:bCs w:val="false"/>
          <w:i w:val="false"/>
          <w:iCs w:val="false"/>
          <w:color w:val="1A1A1A"/>
          <w:sz w:val="22"/>
          <w:szCs w:val="22"/>
        </w:rPr>
        <w:t xml:space="preserve">This proposal outlines a complete migration to a production-grade web architecture built on Supabase (managed Postgres, authentication, file storage) with a TypeScript-based API and a modern React frontend. The architecture is designed to scale to 100 concurrent users without rearchitecting, costs approximately ₹2,800 per month all-in, and can be delivered in 12 weeks using a strangler-pattern migration (the existing system continues running until each module is verified on the new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68" w:sz="4"/>
              <w:left w:val="single" w:color="1F3A68" w:sz="16"/>
              <w:bottom w:val="single" w:color="1F3A68" w:sz="4"/>
              <w:right w:val="single" w:color="1F3A68" w:sz="4"/>
            </w:tcBorders>
            <w:shd w:fill="FFF8E1" w:val="clear"/>
            <w:tcMar>
              <w:top w:type="dxa" w:w="200"/>
              <w:left w:type="dxa" w:w="240"/>
              <w:bottom w:type="dxa" w:w="200"/>
              <w:right w:type="dxa" w:w="240"/>
            </w:tcMar>
          </w:tcPr>
          <w:p>
            <w:pPr>
              <w:spacing w:after="100"/>
            </w:pPr>
            <w:r>
              <w:rPr>
                <w:rFonts w:ascii="Calibri" w:cs="Calibri" w:eastAsia="Calibri" w:hAnsi="Calibri"/>
                <w:b/>
                <w:bCs/>
                <w:color w:val="1F3A68"/>
                <w:sz w:val="22"/>
                <w:szCs w:val="22"/>
              </w:rPr>
              <w:t xml:space="preserve">Key Outcomes</w:t>
            </w:r>
          </w:p>
          <w:p>
            <w:pPr>
              <w:spacing w:after="80"/>
            </w:pPr>
            <w:r>
              <w:rPr>
                <w:rFonts w:ascii="Calibri" w:cs="Calibri" w:eastAsia="Calibri" w:hAnsi="Calibri"/>
                <w:color w:val="1A1A1A"/>
                <w:sz w:val="22"/>
                <w:szCs w:val="22"/>
              </w:rPr>
              <w:t xml:space="preserve">• Concurrency problem eliminated — every record is now atomic and independently editable</w:t>
            </w:r>
          </w:p>
          <w:p>
            <w:pPr>
              <w:spacing w:after="80"/>
            </w:pPr>
            <w:r>
              <w:rPr>
                <w:rFonts w:ascii="Calibri" w:cs="Calibri" w:eastAsia="Calibri" w:hAnsi="Calibri"/>
                <w:color w:val="1A1A1A"/>
                <w:sz w:val="22"/>
                <w:szCs w:val="22"/>
              </w:rPr>
              <w:t xml:space="preserve">• Real, enforced role-based access at the database level (Row-Level Security)</w:t>
            </w:r>
          </w:p>
          <w:p>
            <w:pPr>
              <w:spacing w:after="80"/>
            </w:pPr>
            <w:r>
              <w:rPr>
                <w:rFonts w:ascii="Calibri" w:cs="Calibri" w:eastAsia="Calibri" w:hAnsi="Calibri"/>
                <w:color w:val="1A1A1A"/>
                <w:sz w:val="22"/>
                <w:szCs w:val="22"/>
              </w:rPr>
              <w:t xml:space="preserve">• Reports and dashboards in seconds, not minutes</w:t>
            </w:r>
          </w:p>
          <w:p>
            <w:pPr>
              <w:spacing w:after="80"/>
            </w:pPr>
            <w:r>
              <w:rPr>
                <w:rFonts w:ascii="Calibri" w:cs="Calibri" w:eastAsia="Calibri" w:hAnsi="Calibri"/>
                <w:color w:val="1A1A1A"/>
                <w:sz w:val="22"/>
                <w:szCs w:val="22"/>
              </w:rPr>
              <w:t xml:space="preserve">• Full audit trail, soft delete, and offsite backups on day one</w:t>
            </w:r>
          </w:p>
          <w:p>
            <w:pPr>
              <w:spacing w:after="80"/>
            </w:pPr>
            <w:r>
              <w:rPr>
                <w:rFonts w:ascii="Calibri" w:cs="Calibri" w:eastAsia="Calibri" w:hAnsi="Calibri"/>
                <w:color w:val="1A1A1A"/>
                <w:sz w:val="22"/>
                <w:szCs w:val="22"/>
              </w:rPr>
              <w:t xml:space="preserve">• Total monthly cost roughly equal to current Firebase usage at scale</w:t>
            </w:r>
          </w:p>
          <w:p>
            <w:pPr>
              <w:spacing w:after="80"/>
            </w:pPr>
            <w:r>
              <w:rPr>
                <w:rFonts w:ascii="Calibri" w:cs="Calibri" w:eastAsia="Calibri" w:hAnsi="Calibri"/>
                <w:color w:val="1A1A1A"/>
                <w:sz w:val="22"/>
                <w:szCs w:val="22"/>
              </w:rPr>
              <w:t xml:space="preserve">• Zero-downtime migration — old system runs in parallel until each module is cut over</w:t>
            </w:r>
          </w:p>
        </w:tc>
      </w:tr>
    </w:tbl>
    <w:p>
      <w:pPr>
        <w:spacing w:after="100"/>
      </w:pPr>
      <w:r>
        <w:rPr>
          <w:rFonts w:ascii="Calibri" w:cs="Calibri" w:eastAsia="Calibri" w:hAnsi="Calibri"/>
        </w:rPr>
        <w:t xml:space="preserve"/>
      </w:r>
    </w:p>
    <w:p>
      <w:pPr>
        <w:pStyle w:val="Heading3"/>
        <w:spacing w:after="100" w:before="200"/>
      </w:pPr>
      <w:r>
        <w:rPr>
          <w:rFonts w:ascii="Calibri" w:cs="Calibri" w:eastAsia="Calibri" w:hAnsi="Calibri"/>
          <w:b/>
          <w:bCs/>
          <w:color w:val="1A1A1A"/>
          <w:sz w:val="24"/>
          <w:szCs w:val="24"/>
        </w:rPr>
        <w:t xml:space="preserve">Investment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1F3A68"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Item</w:t>
            </w:r>
          </w:p>
        </w:tc>
        <w:tc>
          <w:tcPr>
            <w:tcW w:type="dxa" w:w="4680"/>
            <w:tcBorders>
              <w:top w:val="single" w:color="CCCCCC" w:sz="4"/>
              <w:left w:val="single" w:color="CCCCCC" w:sz="4"/>
              <w:bottom w:val="single" w:color="CCCCCC" w:sz="4"/>
              <w:right w:val="single" w:color="CCCCCC" w:sz="4"/>
            </w:tcBorders>
            <w:shd w:fill="1F3A68"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Cost</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One-time migration &amp; development (12 weeks)</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Quoted separately based on team</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Recurring infrastructure (15–20 users)</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~₹2,800 / month (~$33)</w:t>
            </w:r>
          </w:p>
        </w:tc>
      </w:tr>
      <w:tr>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Recurring infrastructure (100 users)</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~₹3,800 / month (~$45)</w:t>
            </w:r>
          </w:p>
        </w:tc>
      </w:tr>
    </w:tbl>
    <w:p>
      <w:r>
        <w:br w:type="page"/>
      </w:r>
    </w:p>
    <w:p>
      <w:pPr>
        <w:pStyle w:val="Heading1"/>
        <w:spacing w:after="200" w:before="360"/>
      </w:pPr>
      <w:r>
        <w:rPr>
          <w:rFonts w:ascii="Calibri" w:cs="Calibri" w:eastAsia="Calibri" w:hAnsi="Calibri"/>
          <w:b/>
          <w:bCs/>
          <w:color w:val="1F3A68"/>
          <w:sz w:val="36"/>
          <w:szCs w:val="36"/>
        </w:rPr>
        <w:t xml:space="preserve">2. Current System Diagnosis</w:t>
      </w:r>
    </w:p>
    <w:p>
      <w:pPr>
        <w:pStyle w:val="Heading3"/>
        <w:spacing w:after="100" w:before="200"/>
      </w:pPr>
      <w:r>
        <w:rPr>
          <w:rFonts w:ascii="Calibri" w:cs="Calibri" w:eastAsia="Calibri" w:hAnsi="Calibri"/>
          <w:b/>
          <w:bCs/>
          <w:color w:val="1A1A1A"/>
          <w:sz w:val="24"/>
          <w:szCs w:val="24"/>
        </w:rPr>
        <w:t xml:space="preserve">What exists today</w:t>
      </w:r>
    </w:p>
    <w:p>
      <w:pPr>
        <w:pStyle w:val="ListParagraph"/>
        <w:numPr>
          <w:ilvl w:val="0"/>
          <w:numId w:val="2"/>
        </w:numPr>
        <w:spacing w:after="80"/>
      </w:pPr>
      <w:r>
        <w:rPr>
          <w:rFonts w:ascii="Calibri" w:cs="Calibri" w:eastAsia="Calibri" w:hAnsi="Calibri"/>
          <w:color w:val="1A1A1A"/>
          <w:sz w:val="22"/>
          <w:szCs w:val="22"/>
        </w:rPr>
        <w:t xml:space="preserve">Single HTML file (~29,000 lines) containing UI, business logic, and data layer in one document</w:t>
      </w:r>
    </w:p>
    <w:p>
      <w:pPr>
        <w:pStyle w:val="ListParagraph"/>
        <w:numPr>
          <w:ilvl w:val="0"/>
          <w:numId w:val="2"/>
        </w:numPr>
        <w:spacing w:after="80"/>
      </w:pPr>
      <w:r>
        <w:rPr>
          <w:rFonts w:ascii="Calibri" w:cs="Calibri" w:eastAsia="Calibri" w:hAnsi="Calibri"/>
          <w:color w:val="1A1A1A"/>
          <w:sz w:val="22"/>
          <w:szCs w:val="22"/>
        </w:rPr>
        <w:t xml:space="preserve">67 Firestore collections covering Sales, Job Cards, Operations, QC, Procurement, Design, CRM, and supporting data</w:t>
      </w:r>
    </w:p>
    <w:p>
      <w:pPr>
        <w:pStyle w:val="ListParagraph"/>
        <w:numPr>
          <w:ilvl w:val="0"/>
          <w:numId w:val="2"/>
        </w:numPr>
        <w:spacing w:after="80"/>
      </w:pPr>
      <w:r>
        <w:rPr>
          <w:rFonts w:ascii="Calibri" w:cs="Calibri" w:eastAsia="Calibri" w:hAnsi="Calibri"/>
          <w:color w:val="1A1A1A"/>
          <w:sz w:val="22"/>
          <w:szCs w:val="22"/>
        </w:rPr>
        <w:t xml:space="preserve">Firebase Auth for login, Firestore for data, Firebase Storage for files</w:t>
      </w:r>
    </w:p>
    <w:p>
      <w:pPr>
        <w:pStyle w:val="ListParagraph"/>
        <w:numPr>
          <w:ilvl w:val="0"/>
          <w:numId w:val="2"/>
        </w:numPr>
        <w:spacing w:after="80"/>
      </w:pPr>
      <w:r>
        <w:rPr>
          <w:rFonts w:ascii="Calibri" w:cs="Calibri" w:eastAsia="Calibri" w:hAnsi="Calibri"/>
          <w:color w:val="1A1A1A"/>
          <w:sz w:val="22"/>
          <w:szCs w:val="22"/>
        </w:rPr>
        <w:t xml:space="preserve">All authorization logic lives in browser JavaScript and is therefore bypassable</w:t>
      </w:r>
    </w:p>
    <w:p>
      <w:pPr>
        <w:spacing w:after="100"/>
      </w:pPr>
      <w:r>
        <w:rPr>
          <w:rFonts w:ascii="Calibri" w:cs="Calibri" w:eastAsia="Calibri" w:hAnsi="Calibri"/>
        </w:rPr>
        <w:t xml:space="preserve"/>
      </w:r>
    </w:p>
    <w:p>
      <w:pPr>
        <w:pStyle w:val="Heading3"/>
        <w:spacing w:after="100" w:before="200"/>
      </w:pPr>
      <w:r>
        <w:rPr>
          <w:rFonts w:ascii="Calibri" w:cs="Calibri" w:eastAsia="Calibri" w:hAnsi="Calibri"/>
          <w:b/>
          <w:bCs/>
          <w:color w:val="1A1A1A"/>
          <w:sz w:val="24"/>
          <w:szCs w:val="24"/>
        </w:rPr>
        <w:t xml:space="preserve">The core architectural flaw</w:t>
      </w:r>
    </w:p>
    <w:p>
      <w:pPr>
        <w:spacing w:after="100" w:before="0"/>
        <w:jc w:val="left"/>
      </w:pPr>
      <w:r>
        <w:rPr>
          <w:rFonts w:ascii="Calibri" w:cs="Calibri" w:eastAsia="Calibri" w:hAnsi="Calibri"/>
          <w:b w:val="false"/>
          <w:bCs w:val="false"/>
          <w:i w:val="false"/>
          <w:iCs w:val="false"/>
          <w:color w:val="1A1A1A"/>
          <w:sz w:val="22"/>
          <w:szCs w:val="22"/>
        </w:rPr>
        <w:t xml:space="preserve">Each Firestore "collection" is implemented as a single document with all records serialized into a JSON string field. Every save operation rewrites the entire collection. The relevant code pattern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160"/>
              <w:left w:type="dxa" w:w="240"/>
              <w:bottom w:type="dxa" w:w="160"/>
              <w:right w:type="dxa" w:w="240"/>
            </w:tcMar>
          </w:tcPr>
          <w:p>
            <w:r>
              <w:rPr>
                <w:rFonts w:ascii="Consolas" w:cs="Consolas" w:eastAsia="Consolas" w:hAnsi="Consolas"/>
                <w:color w:val="C0392B"/>
                <w:sz w:val="20"/>
                <w:szCs w:val="20"/>
              </w:rPr>
              <w:t xml:space="preserve">batch.set(docRef, {</w:t>
            </w:r>
          </w:p>
          <w:p>
            <w:r>
              <w:rPr>
                <w:rFonts w:ascii="Consolas" w:cs="Consolas" w:eastAsia="Consolas" w:hAnsi="Consolas"/>
                <w:color w:val="C0392B"/>
                <w:sz w:val="20"/>
                <w:szCs w:val="20"/>
              </w:rPr>
              <w:t xml:space="preserve">  records: JSON.stringify(data),   // entire collection rewritten on every save</w:t>
            </w:r>
          </w:p>
          <w:p>
            <w:r>
              <w:rPr>
                <w:rFonts w:ascii="Consolas" w:cs="Consolas" w:eastAsia="Consolas" w:hAnsi="Consolas"/>
                <w:color w:val="C0392B"/>
                <w:sz w:val="20"/>
                <w:szCs w:val="20"/>
              </w:rPr>
              <w:t xml:space="preserve">  count: data.length, ...</w:t>
            </w:r>
          </w:p>
          <w:p>
            <w:r>
              <w:rPr>
                <w:rFonts w:ascii="Consolas" w:cs="Consolas" w:eastAsia="Consolas" w:hAnsi="Consolas"/>
                <w:color w:val="C0392B"/>
                <w:sz w:val="20"/>
                <w:szCs w:val="20"/>
              </w:rPr>
              <w:t xml:space="preserve">})</w:t>
            </w:r>
          </w:p>
        </w:tc>
      </w:tr>
    </w:tbl>
    <w:p>
      <w:pPr>
        <w:spacing w:after="120"/>
      </w:pPr>
      <w:r>
        <w:rPr>
          <w:rFonts w:ascii="Calibri" w:cs="Calibri" w:eastAsia="Calibri" w:hAnsi="Calibri"/>
        </w:rPr>
        <w:t xml:space="preserve"/>
      </w:r>
    </w:p>
    <w:p>
      <w:pPr>
        <w:pStyle w:val="Heading3"/>
        <w:spacing w:after="100" w:before="200"/>
      </w:pPr>
      <w:r>
        <w:rPr>
          <w:rFonts w:ascii="Calibri" w:cs="Calibri" w:eastAsia="Calibri" w:hAnsi="Calibri"/>
          <w:b/>
          <w:bCs/>
          <w:color w:val="1A1A1A"/>
          <w:sz w:val="24"/>
          <w:szCs w:val="24"/>
        </w:rPr>
        <w:t xml:space="preserve">Failure modes already present or imminent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CCCCCC" w:sz="4"/>
              <w:left w:val="single" w:color="CCCCCC" w:sz="4"/>
              <w:bottom w:val="single" w:color="CCCCCC" w:sz="4"/>
              <w:right w:val="single" w:color="CCCCCC" w:sz="4"/>
            </w:tcBorders>
            <w:shd w:fill="1F3A68"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Failure Mode</w:t>
            </w:r>
          </w:p>
        </w:tc>
        <w:tc>
          <w:tcPr>
            <w:tcW w:type="dxa" w:w="4960"/>
            <w:tcBorders>
              <w:top w:val="single" w:color="CCCCCC" w:sz="4"/>
              <w:left w:val="single" w:color="CCCCCC" w:sz="4"/>
              <w:bottom w:val="single" w:color="CCCCCC" w:sz="4"/>
              <w:right w:val="single" w:color="CCCCCC" w:sz="4"/>
            </w:tcBorders>
            <w:shd w:fill="1F3A68"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Operational Impact</w:t>
            </w:r>
          </w:p>
        </w:tc>
      </w:tr>
      <w:tr>
        <w:tc>
          <w:tcPr>
            <w:tcW w:type="dxa" w:w="4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Concurrent edits to same collection</w:t>
            </w:r>
          </w:p>
        </w:tc>
        <w:tc>
          <w:tcPr>
            <w:tcW w:type="dxa" w:w="49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Last-write-wins; one user's edits silently disappear</w:t>
            </w:r>
          </w:p>
        </w:tc>
      </w:tr>
      <w:tr>
        <w:tc>
          <w:tcPr>
            <w:tcW w:type="dxa" w:w="4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Collection grows past ~1 MB</w:t>
            </w:r>
          </w:p>
        </w:tc>
        <w:tc>
          <w:tcPr>
            <w:tcW w:type="dxa" w:w="49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Firestore rejects the write entirely; all saves to that module fail</w:t>
            </w:r>
          </w:p>
        </w:tc>
      </w:tr>
      <w:tr>
        <w:tc>
          <w:tcPr>
            <w:tcW w:type="dxa" w:w="4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Real-time listener fires on any change</w:t>
            </w:r>
          </w:p>
        </w:tc>
        <w:tc>
          <w:tcPr>
            <w:tcW w:type="dxa" w:w="49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Every connected user re-downloads the entire collection — bandwidth and re-render storm</w:t>
            </w:r>
          </w:p>
        </w:tc>
      </w:tr>
      <w:tr>
        <w:tc>
          <w:tcPr>
            <w:tcW w:type="dxa" w:w="4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Network blip during save</w:t>
            </w:r>
          </w:p>
        </w:tc>
        <w:tc>
          <w:tcPr>
            <w:tcW w:type="dxa" w:w="49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Whole-collection rewrite fails atomically; entire batch of edits is lost</w:t>
            </w:r>
          </w:p>
        </w:tc>
      </w:tr>
      <w:tr>
        <w:tc>
          <w:tcPr>
            <w:tcW w:type="dxa" w:w="4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Authorization in browser code</w:t>
            </w:r>
          </w:p>
        </w:tc>
        <w:tc>
          <w:tcPr>
            <w:tcW w:type="dxa" w:w="49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Any user can bypass UI restrictions via browser dev tools — no real security</w:t>
            </w:r>
          </w:p>
        </w:tc>
      </w:tr>
      <w:tr>
        <w:tc>
          <w:tcPr>
            <w:tcW w:type="dxa" w:w="4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Reports and dashboards</w:t>
            </w:r>
          </w:p>
        </w:tc>
        <w:tc>
          <w:tcPr>
            <w:tcW w:type="dxa" w:w="49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Built by pulling all records into memory and aggregating in JavaScript — slow and unreliable</w:t>
            </w:r>
          </w:p>
        </w:tc>
      </w:tr>
    </w:tbl>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6"/>
              <w:bottom w:val="single" w:color="C0392B" w:sz="4"/>
              <w:right w:val="single" w:color="C0392B" w:sz="4"/>
            </w:tcBorders>
            <w:shd w:fill="FFF8E1" w:val="clear"/>
            <w:tcMar>
              <w:top w:type="dxa" w:w="200"/>
              <w:left w:type="dxa" w:w="240"/>
              <w:bottom w:type="dxa" w:w="200"/>
              <w:right w:type="dxa" w:w="240"/>
            </w:tcMar>
          </w:tcPr>
          <w:p>
            <w:pPr>
              <w:spacing w:after="100"/>
            </w:pPr>
            <w:r>
              <w:rPr>
                <w:rFonts w:ascii="Calibri" w:cs="Calibri" w:eastAsia="Calibri" w:hAnsi="Calibri"/>
                <w:b/>
                <w:bCs/>
                <w:color w:val="C0392B"/>
                <w:sz w:val="22"/>
                <w:szCs w:val="22"/>
              </w:rPr>
              <w:t xml:space="preserve">Important</w:t>
            </w:r>
          </w:p>
          <w:p>
            <w:pPr>
              <w:spacing w:after="80"/>
            </w:pPr>
            <w:r>
              <w:rPr>
                <w:rFonts w:ascii="Calibri" w:cs="Calibri" w:eastAsia="Calibri" w:hAnsi="Calibri"/>
                <w:color w:val="1A1A1A"/>
                <w:sz w:val="22"/>
                <w:szCs w:val="22"/>
              </w:rPr>
              <w:t xml:space="preserve">This is a data-shape problem, not a UI problem. Migrating only the frontend (e.g. moving HTML to React) without changing the database structure would deliver no improvement. The migration must happen at the data layer first.</w:t>
            </w:r>
          </w:p>
        </w:tc>
      </w:tr>
    </w:tbl>
    <w:p>
      <w:r>
        <w:br w:type="page"/>
      </w:r>
    </w:p>
    <w:p>
      <w:pPr>
        <w:pStyle w:val="Heading1"/>
        <w:spacing w:after="200" w:before="360"/>
      </w:pPr>
      <w:r>
        <w:rPr>
          <w:rFonts w:ascii="Calibri" w:cs="Calibri" w:eastAsia="Calibri" w:hAnsi="Calibri"/>
          <w:b/>
          <w:bCs/>
          <w:color w:val="1F3A68"/>
          <w:sz w:val="36"/>
          <w:szCs w:val="36"/>
        </w:rPr>
        <w:t xml:space="preserve">3. Target Architecture</w:t>
      </w:r>
    </w:p>
    <w:p>
      <w:pPr>
        <w:spacing w:after="200" w:before="0"/>
        <w:jc w:val="left"/>
      </w:pPr>
      <w:r>
        <w:rPr>
          <w:rFonts w:ascii="Calibri" w:cs="Calibri" w:eastAsia="Calibri" w:hAnsi="Calibri"/>
          <w:b w:val="false"/>
          <w:bCs w:val="false"/>
          <w:i w:val="false"/>
          <w:iCs w:val="false"/>
          <w:color w:val="1A1A1A"/>
          <w:sz w:val="22"/>
          <w:szCs w:val="22"/>
        </w:rPr>
        <w:t xml:space="preserve">The target architecture has three independently deployable components and one managed platform. Each component has a single, well-defined responsibility.</w:t>
      </w:r>
    </w:p>
    <w:p>
      <w:pPr>
        <w:pStyle w:val="Heading3"/>
        <w:spacing w:after="100" w:before="200"/>
      </w:pPr>
      <w:r>
        <w:rPr>
          <w:rFonts w:ascii="Calibri" w:cs="Calibri" w:eastAsia="Calibri" w:hAnsi="Calibri"/>
          <w:b/>
          <w:bCs/>
          <w:color w:val="1A1A1A"/>
          <w:sz w:val="24"/>
          <w:szCs w:val="24"/>
        </w:rPr>
        <w:t xml:space="preserve">Component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AFAFA" w:val="clear"/>
            <w:tcMar>
              <w:top w:type="dxa" w:w="200"/>
              <w:left w:type="dxa" w:w="280"/>
              <w:bottom w:type="dxa" w:w="200"/>
              <w:right w:type="dxa" w:w="280"/>
            </w:tcMar>
          </w:tcPr>
          <w:p>
            <w:pPr>
              <w:spacing w:after="100"/>
              <w:jc w:val="center"/>
            </w:pPr>
            <w:r>
              <w:rPr>
                <w:rFonts w:ascii="Consolas" w:cs="Consolas" w:eastAsia="Consolas" w:hAnsi="Consolas"/>
                <w:b/>
                <w:bCs/>
                <w:color w:val="1F3A68"/>
                <w:sz w:val="22"/>
                <w:szCs w:val="22"/>
              </w:rPr>
              <w:t xml:space="preserve">Browser (User Device)</w:t>
            </w:r>
          </w:p>
          <w:p>
            <w:pPr>
              <w:spacing w:after="100"/>
              <w:jc w:val="center"/>
            </w:pPr>
            <w:r>
              <w:rPr>
                <w:rFonts w:ascii="Consolas" w:cs="Consolas" w:eastAsia="Consolas" w:hAnsi="Consolas"/>
                <w:color w:val="555555"/>
                <w:sz w:val="20"/>
                <w:szCs w:val="20"/>
              </w:rPr>
              <w:t xml:space="preserve">↓ HTTPS / WebSocket</w:t>
            </w:r>
          </w:p>
          <w:p>
            <w:pPr>
              <w:spacing w:after="100"/>
              <w:jc w:val="center"/>
            </w:pPr>
            <w:r>
              <w:rPr>
                <w:rFonts w:ascii="Consolas" w:cs="Consolas" w:eastAsia="Consolas" w:hAnsi="Consolas"/>
                <w:sz w:val="22"/>
                <w:szCs w:val="22"/>
              </w:rPr>
              <w:t xml:space="preserve">React SPA  →  hosted on Cloudflare Pages (free)</w:t>
            </w:r>
          </w:p>
          <w:p>
            <w:pPr>
              <w:spacing w:after="100"/>
              <w:jc w:val="center"/>
            </w:pPr>
            <w:r>
              <w:rPr>
                <w:rFonts w:ascii="Consolas" w:cs="Consolas" w:eastAsia="Consolas" w:hAnsi="Consolas"/>
                <w:color w:val="555555"/>
                <w:sz w:val="20"/>
                <w:szCs w:val="20"/>
              </w:rPr>
              <w:t xml:space="preserve">↓</w:t>
            </w:r>
          </w:p>
          <w:p>
            <w:pPr>
              <w:spacing w:after="100"/>
              <w:jc w:val="center"/>
            </w:pPr>
            <w:r>
              <w:rPr>
                <w:rFonts w:ascii="Consolas" w:cs="Consolas" w:eastAsia="Consolas" w:hAnsi="Consolas"/>
                <w:sz w:val="22"/>
                <w:szCs w:val="22"/>
              </w:rPr>
              <w:t xml:space="preserve">Fastify API (Node.js + TypeScript)  →  hosted on Railway / Hetzner</w:t>
            </w:r>
          </w:p>
          <w:p>
            <w:pPr>
              <w:spacing w:after="100"/>
              <w:jc w:val="center"/>
            </w:pPr>
            <w:r>
              <w:rPr>
                <w:rFonts w:ascii="Consolas" w:cs="Consolas" w:eastAsia="Consolas" w:hAnsi="Consolas"/>
                <w:color w:val="555555"/>
                <w:sz w:val="20"/>
                <w:szCs w:val="20"/>
              </w:rPr>
              <w:t xml:space="preserve">↓</w:t>
            </w:r>
          </w:p>
          <w:p>
            <w:pPr>
              <w:jc w:val="center"/>
            </w:pPr>
            <w:r>
              <w:rPr>
                <w:rFonts w:ascii="Consolas" w:cs="Consolas" w:eastAsia="Consolas" w:hAnsi="Consolas"/>
                <w:b/>
                <w:bCs/>
                <w:color w:val="1F3A68"/>
                <w:sz w:val="22"/>
                <w:szCs w:val="22"/>
              </w:rPr>
              <w:t xml:space="preserve">Supabase Pro (Mumbai region)</w:t>
            </w:r>
          </w:p>
          <w:p>
            <w:pPr>
              <w:spacing w:after="60"/>
              <w:jc w:val="center"/>
            </w:pPr>
            <w:r>
              <w:rPr>
                <w:rFonts w:ascii="Consolas" w:cs="Consolas" w:eastAsia="Consolas" w:hAnsi="Consolas"/>
                <w:sz w:val="22"/>
                <w:szCs w:val="22"/>
              </w:rPr>
              <w:t xml:space="preserve">Postgres + Auth + Storage + Realtime + Backups</w:t>
            </w:r>
          </w:p>
        </w:tc>
      </w:tr>
    </w:tbl>
    <w:p>
      <w:pPr>
        <w:spacing w:after="160"/>
      </w:pPr>
      <w:r>
        <w:rPr>
          <w:rFonts w:ascii="Calibri" w:cs="Calibri" w:eastAsia="Calibri" w:hAnsi="Calibri"/>
        </w:rPr>
        <w:t xml:space="preserve"/>
      </w:r>
    </w:p>
    <w:p>
      <w:pPr>
        <w:pStyle w:val="Heading3"/>
        <w:spacing w:after="100" w:before="200"/>
      </w:pPr>
      <w:r>
        <w:rPr>
          <w:rFonts w:ascii="Calibri" w:cs="Calibri" w:eastAsia="Calibri" w:hAnsi="Calibri"/>
          <w:b/>
          <w:bCs/>
          <w:color w:val="1A1A1A"/>
          <w:sz w:val="24"/>
          <w:szCs w:val="24"/>
        </w:rPr>
        <w:t xml:space="preserve">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1F3A68"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Component</w:t>
            </w:r>
          </w:p>
        </w:tc>
        <w:tc>
          <w:tcPr>
            <w:tcW w:type="dxa" w:w="6960"/>
            <w:tcBorders>
              <w:top w:val="single" w:color="CCCCCC" w:sz="4"/>
              <w:left w:val="single" w:color="CCCCCC" w:sz="4"/>
              <w:bottom w:val="single" w:color="CCCCCC" w:sz="4"/>
              <w:right w:val="single" w:color="CCCCCC" w:sz="4"/>
            </w:tcBorders>
            <w:shd w:fill="1F3A68"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Responsibility</w:t>
            </w:r>
          </w:p>
        </w:tc>
      </w:tr>
      <w:tr>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2"/>
                <w:szCs w:val="22"/>
              </w:rPr>
              <w:t xml:space="preserve">React Frontend</w:t>
            </w:r>
          </w:p>
        </w:tc>
        <w:tc>
          <w:tcPr>
            <w:tcW w:type="dxa" w:w="69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Renders UI, handles forms and navigation, submits user intents to the API. Contains zero business logic. Built with Vite, TypeScript, Tailwind, shadcn/ui, TanStack Query.</w:t>
            </w:r>
          </w:p>
        </w:tc>
      </w:tr>
      <w:tr>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2"/>
                <w:szCs w:val="22"/>
              </w:rPr>
              <w:t xml:space="preserve">Fastify API</w:t>
            </w:r>
          </w:p>
        </w:tc>
        <w:tc>
          <w:tcPr>
            <w:tcW w:type="dxa" w:w="69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Owns all business logic: validation, calculations, authorization, transactional integrity. Talks to Supabase as its database. Built with TypeScript, Drizzle ORM, Zod schemas, Pino structured logs.</w:t>
            </w:r>
          </w:p>
        </w:tc>
      </w:tr>
      <w:tr>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2"/>
                <w:szCs w:val="22"/>
              </w:rPr>
              <w:t xml:space="preserve">Supabase Postgres</w:t>
            </w:r>
          </w:p>
        </w:tc>
        <w:tc>
          <w:tcPr>
            <w:tcW w:type="dxa" w:w="69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Single source of truth for all transactional and master data. Enforces multi-tenant isolation and role-based access via Row-Level Security policies. Daily backups + 7-day point-in-time recovery.</w:t>
            </w:r>
          </w:p>
        </w:tc>
      </w:tr>
      <w:tr>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2"/>
                <w:szCs w:val="22"/>
              </w:rPr>
              <w:t xml:space="preserve">Supabase Auth</w:t>
            </w:r>
          </w:p>
        </w:tc>
        <w:tc>
          <w:tcPr>
            <w:tcW w:type="dxa" w:w="69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Email/password and magic-link authentication, JWT-based session management, multi-factor authentication ready.</w:t>
            </w:r>
          </w:p>
        </w:tc>
      </w:tr>
      <w:tr>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2"/>
                <w:szCs w:val="22"/>
              </w:rPr>
              <w:t xml:space="preserve">Supabase Storage</w:t>
            </w:r>
          </w:p>
        </w:tc>
        <w:tc>
          <w:tcPr>
            <w:tcW w:type="dxa" w:w="69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File storage (QC documents, drawings, exports) with same access policies as the database. S3-compatible API.</w:t>
            </w:r>
          </w:p>
        </w:tc>
      </w:tr>
      <w:tr>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2"/>
                <w:szCs w:val="22"/>
              </w:rPr>
              <w:t xml:space="preserve">Supabase Realtime</w:t>
            </w:r>
          </w:p>
        </w:tc>
        <w:tc>
          <w:tcPr>
            <w:tcW w:type="dxa" w:w="69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WebSocket streaming of database changes for live screens (Op Entry, machine status, dashboards). Used selectively to avoid overhead.</w:t>
            </w:r>
          </w:p>
        </w:tc>
      </w:tr>
    </w:tbl>
    <w:p>
      <w:pPr>
        <w:spacing w:after="120"/>
      </w:pPr>
      <w:r>
        <w:rPr>
          <w:rFonts w:ascii="Calibri" w:cs="Calibri" w:eastAsia="Calibri" w:hAnsi="Calibri"/>
        </w:rPr>
        <w:t xml:space="preserve"/>
      </w:r>
    </w:p>
    <w:p>
      <w:pPr>
        <w:pStyle w:val="Heading3"/>
        <w:spacing w:after="100" w:before="200"/>
      </w:pPr>
      <w:r>
        <w:rPr>
          <w:rFonts w:ascii="Calibri" w:cs="Calibri" w:eastAsia="Calibri" w:hAnsi="Calibri"/>
          <w:b/>
          <w:bCs/>
          <w:color w:val="1A1A1A"/>
          <w:sz w:val="24"/>
          <w:szCs w:val="24"/>
        </w:rPr>
        <w:t xml:space="preserve">Why this exact stack</w:t>
      </w:r>
    </w:p>
    <w:p>
      <w:pPr>
        <w:pStyle w:val="ListParagraph"/>
        <w:numPr>
          <w:ilvl w:val="0"/>
          <w:numId w:val="2"/>
        </w:numPr>
        <w:spacing w:after="80"/>
      </w:pPr>
      <w:r>
        <w:rPr>
          <w:rFonts w:ascii="Calibri" w:cs="Calibri" w:eastAsia="Calibri" w:hAnsi="Calibri"/>
          <w:b/>
          <w:bCs/>
          <w:i w:val="false"/>
          <w:iCs w:val="false"/>
          <w:color w:val="1A1A1A"/>
          <w:sz w:val="22"/>
          <w:szCs w:val="22"/>
        </w:rPr>
        <w:t xml:space="preserve">Postgres over Firestore — </w:t>
      </w:r>
      <w:r>
        <w:rPr>
          <w:rFonts w:ascii="Calibri" w:cs="Calibri" w:eastAsia="Calibri" w:hAnsi="Calibri"/>
          <w:b w:val="false"/>
          <w:bCs w:val="false"/>
          <w:i w:val="false"/>
          <w:iCs w:val="false"/>
          <w:color w:val="1A1A1A"/>
          <w:sz w:val="22"/>
          <w:szCs w:val="22"/>
        </w:rPr>
        <w:t xml:space="preserve">ERP data is fundamentally relational (SO → JW → JC → Operations → QC → Dispatch). Postgres handles joins, transactions, and reports natively; Firestore does not.</w:t>
      </w:r>
    </w:p>
    <w:p>
      <w:pPr>
        <w:pStyle w:val="ListParagraph"/>
        <w:numPr>
          <w:ilvl w:val="0"/>
          <w:numId w:val="2"/>
        </w:numPr>
        <w:spacing w:after="80"/>
      </w:pPr>
      <w:r>
        <w:rPr>
          <w:rFonts w:ascii="Calibri" w:cs="Calibri" w:eastAsia="Calibri" w:hAnsi="Calibri"/>
          <w:b/>
          <w:bCs/>
          <w:i w:val="false"/>
          <w:iCs w:val="false"/>
          <w:color w:val="1A1A1A"/>
          <w:sz w:val="22"/>
          <w:szCs w:val="22"/>
        </w:rPr>
        <w:t xml:space="preserve">Row-Level Security — </w:t>
      </w:r>
      <w:r>
        <w:rPr>
          <w:rFonts w:ascii="Calibri" w:cs="Calibri" w:eastAsia="Calibri" w:hAnsi="Calibri"/>
          <w:b w:val="false"/>
          <w:bCs w:val="false"/>
          <w:i w:val="false"/>
          <w:iCs w:val="false"/>
          <w:color w:val="1A1A1A"/>
          <w:sz w:val="22"/>
          <w:szCs w:val="22"/>
        </w:rPr>
        <w:t xml:space="preserve">Authorization rules live in the database, not the application. Even a buggy API cannot leak data across companies, departments, or roles.</w:t>
      </w:r>
    </w:p>
    <w:p>
      <w:pPr>
        <w:pStyle w:val="ListParagraph"/>
        <w:numPr>
          <w:ilvl w:val="0"/>
          <w:numId w:val="2"/>
        </w:numPr>
        <w:spacing w:after="80"/>
      </w:pPr>
      <w:r>
        <w:rPr>
          <w:rFonts w:ascii="Calibri" w:cs="Calibri" w:eastAsia="Calibri" w:hAnsi="Calibri"/>
          <w:b/>
          <w:bCs/>
          <w:i w:val="false"/>
          <w:iCs w:val="false"/>
          <w:color w:val="1A1A1A"/>
          <w:sz w:val="22"/>
          <w:szCs w:val="22"/>
        </w:rPr>
        <w:t xml:space="preserve">TypeScript everywhere — </w:t>
      </w:r>
      <w:r>
        <w:rPr>
          <w:rFonts w:ascii="Calibri" w:cs="Calibri" w:eastAsia="Calibri" w:hAnsi="Calibri"/>
          <w:b w:val="false"/>
          <w:bCs w:val="false"/>
          <w:i w:val="false"/>
          <w:iCs w:val="false"/>
          <w:color w:val="1A1A1A"/>
          <w:sz w:val="22"/>
          <w:szCs w:val="22"/>
        </w:rPr>
        <w:t xml:space="preserve">Single language across frontend and backend. Shared validation schemas (Zod) ensure API and UI never disagree on data shapes.</w:t>
      </w:r>
    </w:p>
    <w:p>
      <w:pPr>
        <w:pStyle w:val="ListParagraph"/>
        <w:numPr>
          <w:ilvl w:val="0"/>
          <w:numId w:val="2"/>
        </w:numPr>
        <w:spacing w:after="80"/>
      </w:pPr>
      <w:r>
        <w:rPr>
          <w:rFonts w:ascii="Calibri" w:cs="Calibri" w:eastAsia="Calibri" w:hAnsi="Calibri"/>
          <w:b/>
          <w:bCs/>
          <w:i w:val="false"/>
          <w:iCs w:val="false"/>
          <w:color w:val="1A1A1A"/>
          <w:sz w:val="22"/>
          <w:szCs w:val="22"/>
        </w:rPr>
        <w:t xml:space="preserve">Drizzle ORM, not Prisma — </w:t>
      </w:r>
      <w:r>
        <w:rPr>
          <w:rFonts w:ascii="Calibri" w:cs="Calibri" w:eastAsia="Calibri" w:hAnsi="Calibri"/>
          <w:b w:val="false"/>
          <w:bCs w:val="false"/>
          <w:i w:val="false"/>
          <w:iCs w:val="false"/>
          <w:color w:val="1A1A1A"/>
          <w:sz w:val="22"/>
          <w:szCs w:val="22"/>
        </w:rPr>
        <w:t xml:space="preserve">Lightweight, transparent, raw-SQL escape hatch when needed. No code generation step.</w:t>
      </w:r>
    </w:p>
    <w:p>
      <w:pPr>
        <w:pStyle w:val="ListParagraph"/>
        <w:numPr>
          <w:ilvl w:val="0"/>
          <w:numId w:val="2"/>
        </w:numPr>
        <w:spacing w:after="80"/>
      </w:pPr>
      <w:r>
        <w:rPr>
          <w:rFonts w:ascii="Calibri" w:cs="Calibri" w:eastAsia="Calibri" w:hAnsi="Calibri"/>
          <w:b/>
          <w:bCs/>
          <w:i w:val="false"/>
          <w:iCs w:val="false"/>
          <w:color w:val="1A1A1A"/>
          <w:sz w:val="22"/>
          <w:szCs w:val="22"/>
        </w:rPr>
        <w:t xml:space="preserve">TanStack Query — </w:t>
      </w:r>
      <w:r>
        <w:rPr>
          <w:rFonts w:ascii="Calibri" w:cs="Calibri" w:eastAsia="Calibri" w:hAnsi="Calibri"/>
          <w:b w:val="false"/>
          <w:bCs w:val="false"/>
          <w:i w:val="false"/>
          <w:iCs w:val="false"/>
          <w:color w:val="1A1A1A"/>
          <w:sz w:val="22"/>
          <w:szCs w:val="22"/>
        </w:rPr>
        <w:t xml:space="preserve">Replaces ~2,000 lines of hand-rolled cache/sync logic with declarative hooks. Optimistic updates, retries, deduplication, stale-while-revalidate built in.</w:t>
      </w:r>
    </w:p>
    <w:p>
      <w:pPr>
        <w:pStyle w:val="ListParagraph"/>
        <w:numPr>
          <w:ilvl w:val="0"/>
          <w:numId w:val="2"/>
        </w:numPr>
        <w:spacing w:after="80"/>
      </w:pPr>
      <w:r>
        <w:rPr>
          <w:rFonts w:ascii="Calibri" w:cs="Calibri" w:eastAsia="Calibri" w:hAnsi="Calibri"/>
          <w:b/>
          <w:bCs/>
          <w:i w:val="false"/>
          <w:iCs w:val="false"/>
          <w:color w:val="1A1A1A"/>
          <w:sz w:val="22"/>
          <w:szCs w:val="22"/>
        </w:rPr>
        <w:t xml:space="preserve">Cloudflare Pages — </w:t>
      </w:r>
      <w:r>
        <w:rPr>
          <w:rFonts w:ascii="Calibri" w:cs="Calibri" w:eastAsia="Calibri" w:hAnsi="Calibri"/>
          <w:b w:val="false"/>
          <w:bCs w:val="false"/>
          <w:i w:val="false"/>
          <w:iCs w:val="false"/>
          <w:color w:val="1A1A1A"/>
          <w:sz w:val="22"/>
          <w:szCs w:val="22"/>
        </w:rPr>
        <w:t xml:space="preserve">Free hosting with unlimited bandwidth. Frontend deploys on every git push.</w:t>
      </w:r>
    </w:p>
    <w:p>
      <w:r>
        <w:br w:type="page"/>
      </w:r>
    </w:p>
    <w:p>
      <w:pPr>
        <w:pStyle w:val="Heading1"/>
        <w:spacing w:after="200" w:before="360"/>
      </w:pPr>
      <w:r>
        <w:rPr>
          <w:rFonts w:ascii="Calibri" w:cs="Calibri" w:eastAsia="Calibri" w:hAnsi="Calibri"/>
          <w:b/>
          <w:bCs/>
          <w:color w:val="1F3A68"/>
          <w:sz w:val="36"/>
          <w:szCs w:val="36"/>
        </w:rPr>
        <w:t xml:space="preserve">4. Why Supabase (Decision Rationale)</w:t>
      </w:r>
    </w:p>
    <w:p>
      <w:pPr>
        <w:spacing w:after="200" w:before="0"/>
        <w:jc w:val="left"/>
      </w:pPr>
      <w:r>
        <w:rPr>
          <w:rFonts w:ascii="Calibri" w:cs="Calibri" w:eastAsia="Calibri" w:hAnsi="Calibri"/>
          <w:b w:val="false"/>
          <w:bCs w:val="false"/>
          <w:i w:val="false"/>
          <w:iCs w:val="false"/>
          <w:color w:val="1A1A1A"/>
          <w:sz w:val="22"/>
          <w:szCs w:val="22"/>
        </w:rPr>
        <w:t xml:space="preserve">Three platforms were evaluated for hosting the Postgres database, authentication, and file storage at the target scale of 15–100 users with 50 GB total data. Costs are normalized to the Mumbai (ap-south-1) region.</w:t>
      </w:r>
    </w:p>
    <w:p>
      <w:pPr>
        <w:pStyle w:val="Heading3"/>
        <w:spacing w:after="100" w:before="200"/>
      </w:pPr>
      <w:r>
        <w:rPr>
          <w:rFonts w:ascii="Calibri" w:cs="Calibri" w:eastAsia="Calibri" w:hAnsi="Calibri"/>
          <w:b/>
          <w:bCs/>
          <w:color w:val="1A1A1A"/>
          <w:sz w:val="24"/>
          <w:szCs w:val="24"/>
        </w:rPr>
        <w:t xml:space="preserve">Comparison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3360"/>
      </w:tblGrid>
      <w:tr>
        <w:tc>
          <w:tcPr>
            <w:tcW w:type="dxa" w:w="2200"/>
            <w:tcBorders>
              <w:top w:val="single" w:color="CCCCCC" w:sz="4"/>
              <w:left w:val="single" w:color="CCCCCC" w:sz="4"/>
              <w:bottom w:val="single" w:color="CCCCCC" w:sz="4"/>
              <w:right w:val="single" w:color="CCCCCC" w:sz="4"/>
            </w:tcBorders>
            <w:shd w:fill="1F3A68"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Criterion</w:t>
            </w:r>
          </w:p>
        </w:tc>
        <w:tc>
          <w:tcPr>
            <w:tcW w:type="dxa" w:w="1900"/>
            <w:tcBorders>
              <w:top w:val="single" w:color="CCCCCC" w:sz="4"/>
              <w:left w:val="single" w:color="CCCCCC" w:sz="4"/>
              <w:bottom w:val="single" w:color="CCCCCC" w:sz="4"/>
              <w:right w:val="single" w:color="CCCCCC" w:sz="4"/>
            </w:tcBorders>
            <w:shd w:fill="1F3A68"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Supabase Pro</w:t>
            </w:r>
          </w:p>
        </w:tc>
        <w:tc>
          <w:tcPr>
            <w:tcW w:type="dxa" w:w="1900"/>
            <w:tcBorders>
              <w:top w:val="single" w:color="CCCCCC" w:sz="4"/>
              <w:left w:val="single" w:color="CCCCCC" w:sz="4"/>
              <w:bottom w:val="single" w:color="CCCCCC" w:sz="4"/>
              <w:right w:val="single" w:color="CCCCCC" w:sz="4"/>
            </w:tcBorders>
            <w:shd w:fill="1F3A68"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AWS</w:t>
            </w:r>
          </w:p>
        </w:tc>
        <w:tc>
          <w:tcPr>
            <w:tcW w:type="dxa" w:w="3360"/>
            <w:tcBorders>
              <w:top w:val="single" w:color="CCCCCC" w:sz="4"/>
              <w:left w:val="single" w:color="CCCCCC" w:sz="4"/>
              <w:bottom w:val="single" w:color="CCCCCC" w:sz="4"/>
              <w:right w:val="single" w:color="CCCCCC" w:sz="4"/>
            </w:tcBorders>
            <w:shd w:fill="1F3A68"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Notes</w:t>
            </w:r>
          </w:p>
        </w:tc>
      </w:tr>
      <w:tr>
        <w:tc>
          <w:tcPr>
            <w:tcW w:type="dxa" w:w="2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2"/>
                <w:szCs w:val="22"/>
              </w:rPr>
              <w:t xml:space="preserve">Monthly cost (your scale)</w:t>
            </w:r>
          </w:p>
        </w:tc>
        <w:tc>
          <w:tcPr>
            <w:tcW w:type="dxa" w:w="19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B7B3A"/>
                <w:sz w:val="22"/>
                <w:szCs w:val="22"/>
              </w:rPr>
              <w:t xml:space="preserve">$26 (~₹2,200)</w:t>
            </w:r>
          </w:p>
        </w:tc>
        <w:tc>
          <w:tcPr>
            <w:tcW w:type="dxa" w:w="19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$60 (~₹5,000)</w:t>
            </w:r>
          </w:p>
        </w:tc>
        <w:tc>
          <w:tcPr>
            <w:tcW w:type="dxa" w:w="33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AWS is 2.3× more at this size</w:t>
            </w:r>
          </w:p>
        </w:tc>
      </w:tr>
      <w:tr>
        <w:tc>
          <w:tcPr>
            <w:tcW w:type="dxa" w:w="220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bCs/>
                <w:color w:val="1A1A1A"/>
                <w:sz w:val="22"/>
                <w:szCs w:val="22"/>
              </w:rPr>
              <w:t xml:space="preserve">Setup time</w:t>
            </w:r>
          </w:p>
        </w:tc>
        <w:tc>
          <w:tcPr>
            <w:tcW w:type="dxa" w:w="190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1 day</w:t>
            </w:r>
          </w:p>
        </w:tc>
        <w:tc>
          <w:tcPr>
            <w:tcW w:type="dxa" w:w="190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1–2 weeks</w:t>
            </w:r>
          </w:p>
        </w:tc>
        <w:tc>
          <w:tcPr>
            <w:tcW w:type="dxa" w:w="336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AWS requires VPC, IAM, RDS config, etc.</w:t>
            </w:r>
          </w:p>
        </w:tc>
      </w:tr>
      <w:tr>
        <w:tc>
          <w:tcPr>
            <w:tcW w:type="dxa" w:w="2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2"/>
                <w:szCs w:val="22"/>
              </w:rPr>
              <w:t xml:space="preserve">Ongoing ops burden</w:t>
            </w:r>
          </w:p>
        </w:tc>
        <w:tc>
          <w:tcPr>
            <w:tcW w:type="dxa" w:w="19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~0 hr / month</w:t>
            </w:r>
          </w:p>
        </w:tc>
        <w:tc>
          <w:tcPr>
            <w:tcW w:type="dxa" w:w="19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5–10 hr / month</w:t>
            </w:r>
          </w:p>
        </w:tc>
        <w:tc>
          <w:tcPr>
            <w:tcW w:type="dxa" w:w="33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Patching, alarms, backups, log retention</w:t>
            </w:r>
          </w:p>
        </w:tc>
      </w:tr>
      <w:tr>
        <w:tc>
          <w:tcPr>
            <w:tcW w:type="dxa" w:w="220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bCs/>
                <w:color w:val="1A1A1A"/>
                <w:sz w:val="22"/>
                <w:szCs w:val="22"/>
              </w:rPr>
              <w:t xml:space="preserve">Database engine</w:t>
            </w:r>
          </w:p>
        </w:tc>
        <w:tc>
          <w:tcPr>
            <w:tcW w:type="dxa" w:w="190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Postgres 15</w:t>
            </w:r>
          </w:p>
        </w:tc>
        <w:tc>
          <w:tcPr>
            <w:tcW w:type="dxa" w:w="190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Postgres 15</w:t>
            </w:r>
          </w:p>
        </w:tc>
        <w:tc>
          <w:tcPr>
            <w:tcW w:type="dxa" w:w="336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Identical engine — quality is not compromised</w:t>
            </w:r>
          </w:p>
        </w:tc>
      </w:tr>
      <w:tr>
        <w:tc>
          <w:tcPr>
            <w:tcW w:type="dxa" w:w="2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2"/>
                <w:szCs w:val="22"/>
              </w:rPr>
              <w:t xml:space="preserve">Vendor lock-in</w:t>
            </w:r>
          </w:p>
        </w:tc>
        <w:tc>
          <w:tcPr>
            <w:tcW w:type="dxa" w:w="19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Low</w:t>
            </w:r>
          </w:p>
        </w:tc>
        <w:tc>
          <w:tcPr>
            <w:tcW w:type="dxa" w:w="19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Low to medium</w:t>
            </w:r>
          </w:p>
        </w:tc>
        <w:tc>
          <w:tcPr>
            <w:tcW w:type="dxa" w:w="33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Both use standard Postgres + S3 API</w:t>
            </w:r>
          </w:p>
        </w:tc>
      </w:tr>
      <w:tr>
        <w:tc>
          <w:tcPr>
            <w:tcW w:type="dxa" w:w="220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bCs/>
                <w:color w:val="1A1A1A"/>
                <w:sz w:val="22"/>
                <w:szCs w:val="22"/>
              </w:rPr>
              <w:t xml:space="preserve">Auth, Storage, Realtime</w:t>
            </w:r>
          </w:p>
        </w:tc>
        <w:tc>
          <w:tcPr>
            <w:tcW w:type="dxa" w:w="190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Included</w:t>
            </w:r>
          </w:p>
        </w:tc>
        <w:tc>
          <w:tcPr>
            <w:tcW w:type="dxa" w:w="190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Bolt-on</w:t>
            </w:r>
          </w:p>
        </w:tc>
        <w:tc>
          <w:tcPr>
            <w:tcW w:type="dxa" w:w="336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AWS requires Cognito + S3 + AppSync setup</w:t>
            </w:r>
          </w:p>
        </w:tc>
      </w:tr>
      <w:tr>
        <w:tc>
          <w:tcPr>
            <w:tcW w:type="dxa" w:w="2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2"/>
                <w:szCs w:val="22"/>
              </w:rPr>
              <w:t xml:space="preserve">Mumbai region</w:t>
            </w:r>
          </w:p>
        </w:tc>
        <w:tc>
          <w:tcPr>
            <w:tcW w:type="dxa" w:w="19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Yes</w:t>
            </w:r>
          </w:p>
        </w:tc>
        <w:tc>
          <w:tcPr>
            <w:tcW w:type="dxa" w:w="19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Yes</w:t>
            </w:r>
          </w:p>
        </w:tc>
        <w:tc>
          <w:tcPr>
            <w:tcW w:type="dxa" w:w="33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Both deliver low latency for India users</w:t>
            </w:r>
          </w:p>
        </w:tc>
      </w:tr>
      <w:tr>
        <w:tc>
          <w:tcPr>
            <w:tcW w:type="dxa" w:w="220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bCs/>
                <w:color w:val="1A1A1A"/>
                <w:sz w:val="22"/>
                <w:szCs w:val="22"/>
              </w:rPr>
              <w:t xml:space="preserve">Scaling ceiling</w:t>
            </w:r>
          </w:p>
        </w:tc>
        <w:tc>
          <w:tcPr>
            <w:tcW w:type="dxa" w:w="190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~1,000 users</w:t>
            </w:r>
          </w:p>
        </w:tc>
        <w:tc>
          <w:tcPr>
            <w:tcW w:type="dxa" w:w="190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Unlimited</w:t>
            </w:r>
          </w:p>
        </w:tc>
        <w:tc>
          <w:tcPr>
            <w:tcW w:type="dxa" w:w="336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Migration to AWS is straightforward if needed later</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68" w:sz="4"/>
              <w:left w:val="single" w:color="1F3A68" w:sz="16"/>
              <w:bottom w:val="single" w:color="1F3A68" w:sz="4"/>
              <w:right w:val="single" w:color="1F3A68" w:sz="4"/>
            </w:tcBorders>
            <w:shd w:fill="FFF8E1" w:val="clear"/>
            <w:tcMar>
              <w:top w:type="dxa" w:w="200"/>
              <w:left w:type="dxa" w:w="240"/>
              <w:bottom w:type="dxa" w:w="200"/>
              <w:right w:type="dxa" w:w="240"/>
            </w:tcMar>
          </w:tcPr>
          <w:p>
            <w:pPr>
              <w:spacing w:after="100"/>
            </w:pPr>
            <w:r>
              <w:rPr>
                <w:rFonts w:ascii="Calibri" w:cs="Calibri" w:eastAsia="Calibri" w:hAnsi="Calibri"/>
                <w:b/>
                <w:bCs/>
                <w:color w:val="1F3A68"/>
                <w:sz w:val="22"/>
                <w:szCs w:val="22"/>
              </w:rPr>
              <w:t xml:space="preserve">Recommendation</w:t>
            </w:r>
          </w:p>
          <w:p>
            <w:pPr>
              <w:spacing w:after="80"/>
            </w:pPr>
            <w:r>
              <w:rPr>
                <w:rFonts w:ascii="Calibri" w:cs="Calibri" w:eastAsia="Calibri" w:hAnsi="Calibri"/>
                <w:color w:val="1A1A1A"/>
                <w:sz w:val="22"/>
                <w:szCs w:val="22"/>
              </w:rPr>
              <w:t xml:space="preserve">Supabase Pro is the recommended platform. AWS would deliver no functional difference at 15–100 users while costing roughly twice as much and requiring permanent operations effort. If usage ever exceeds 1,000 concurrent users (years away), migrating from Supabase to AWS RDS + S3 is a 1-day operation — the data and code are portable by design.</w:t>
            </w:r>
          </w:p>
        </w:tc>
      </w:tr>
    </w:tbl>
    <w:p>
      <w:r>
        <w:br w:type="page"/>
      </w:r>
    </w:p>
    <w:p>
      <w:pPr>
        <w:pStyle w:val="Heading1"/>
        <w:spacing w:after="200" w:before="360"/>
      </w:pPr>
      <w:r>
        <w:rPr>
          <w:rFonts w:ascii="Calibri" w:cs="Calibri" w:eastAsia="Calibri" w:hAnsi="Calibri"/>
          <w:b/>
          <w:bCs/>
          <w:color w:val="1F3A68"/>
          <w:sz w:val="36"/>
          <w:szCs w:val="36"/>
        </w:rPr>
        <w:t xml:space="preserve">5. Database Schema Design</w:t>
      </w:r>
    </w:p>
    <w:p>
      <w:pPr>
        <w:spacing w:after="200" w:before="0"/>
        <w:jc w:val="left"/>
      </w:pPr>
      <w:r>
        <w:rPr>
          <w:rFonts w:ascii="Calibri" w:cs="Calibri" w:eastAsia="Calibri" w:hAnsi="Calibri"/>
          <w:b w:val="false"/>
          <w:bCs w:val="false"/>
          <w:i w:val="false"/>
          <w:iCs w:val="false"/>
          <w:color w:val="1A1A1A"/>
          <w:sz w:val="22"/>
          <w:szCs w:val="22"/>
        </w:rPr>
        <w:t xml:space="preserve">The 67 flat Firestore collections will be consolidated into approximately 30–40 properly normalized Postgres tables. Several Firestore collections are duplicates that the flat data model forced (for example, four separate dispatch tables become one with a direction enum). The new schema is built around a relational spine that mirrors the actual business process flow.</w:t>
      </w:r>
    </w:p>
    <w:p>
      <w:pPr>
        <w:pStyle w:val="Heading3"/>
        <w:spacing w:after="100" w:before="200"/>
      </w:pPr>
      <w:r>
        <w:rPr>
          <w:rFonts w:ascii="Calibri" w:cs="Calibri" w:eastAsia="Calibri" w:hAnsi="Calibri"/>
          <w:b/>
          <w:bCs/>
          <w:color w:val="1A1A1A"/>
          <w:sz w:val="24"/>
          <w:szCs w:val="24"/>
        </w:rPr>
        <w:t xml:space="preserve">Core relational spine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AFAFA" w:val="clear"/>
            <w:tcMar>
              <w:top w:type="dxa" w:w="200"/>
              <w:left w:type="dxa" w:w="280"/>
              <w:bottom w:type="dxa" w:w="200"/>
              <w:right w:type="dxa" w:w="280"/>
            </w:tcMar>
          </w:tcPr>
          <w:p>
            <w:pPr>
              <w:spacing w:after="60"/>
            </w:pPr>
            <w:r>
              <w:rPr>
                <w:rFonts w:ascii="Consolas" w:cs="Consolas" w:eastAsia="Consolas" w:hAnsi="Consolas"/>
                <w:sz w:val="20"/>
                <w:szCs w:val="20"/>
              </w:rPr>
              <w:t xml:space="preserve">clients ──&lt; sales_orders ──&lt; job_work_orders ──&lt; job_cards ──&lt; jc_ops ──&lt; op_log</w:t>
            </w:r>
          </w:p>
          <w:p>
            <w:pPr>
              <w:spacing w:after="60"/>
            </w:pPr>
            <w:r>
              <w:rPr>
                <w:rFonts w:ascii="Consolas" w:cs="Consolas" w:eastAsia="Consolas" w:hAnsi="Consolas"/>
                <w:color w:val="555555"/>
                <w:sz w:val="20"/>
                <w:szCs w:val="20"/>
              </w:rPr>
              <w:t xml:space="preserve">                                                  │</w:t>
            </w:r>
          </w:p>
          <w:p>
            <w:pPr>
              <w:spacing w:after="60"/>
            </w:pPr>
            <w:r>
              <w:rPr>
                <w:rFonts w:ascii="Consolas" w:cs="Consolas" w:eastAsia="Consolas" w:hAnsi="Consolas"/>
                <w:color w:val="555555"/>
                <w:sz w:val="20"/>
                <w:szCs w:val="20"/>
              </w:rPr>
              <w:t xml:space="preserve">                                                  ├──&lt; qc_inspections ──&lt; qc_attachments</w:t>
            </w:r>
          </w:p>
          <w:p>
            <w:pPr>
              <w:spacing w:after="60"/>
            </w:pPr>
            <w:r>
              <w:rPr>
                <w:rFonts w:ascii="Consolas" w:cs="Consolas" w:eastAsia="Consolas" w:hAnsi="Consolas"/>
                <w:color w:val="555555"/>
                <w:sz w:val="20"/>
                <w:szCs w:val="20"/>
              </w:rPr>
              <w:t xml:space="preserve">                                                  ├──&lt; nc_register</w:t>
            </w:r>
          </w:p>
          <w:p>
            <w:pPr>
              <w:spacing w:after="200"/>
            </w:pPr>
            <w:r>
              <w:rPr>
                <w:rFonts w:ascii="Consolas" w:cs="Consolas" w:eastAsia="Consolas" w:hAnsi="Consolas"/>
                <w:color w:val="555555"/>
                <w:sz w:val="20"/>
                <w:szCs w:val="20"/>
              </w:rPr>
              <w:t xml:space="preserve">                                                  └──&lt; dispatch_log</w:t>
            </w:r>
          </w:p>
          <w:p>
            <w:pPr>
              <w:spacing w:after="60"/>
            </w:pPr>
            <w:r>
              <w:rPr>
                <w:rFonts w:ascii="Consolas" w:cs="Consolas" w:eastAsia="Consolas" w:hAnsi="Consolas"/>
                <w:sz w:val="20"/>
                <w:szCs w:val="20"/>
              </w:rPr>
              <w:t xml:space="preserve">vendors ──&lt; purchase_orders ──&lt; po_lines ──&lt; grn ──&lt; grn_lines</w:t>
            </w:r>
          </w:p>
          <w:p>
            <w:pPr>
              <w:spacing w:after="60"/>
            </w:pPr>
            <w:r>
              <w:rPr>
                <w:rFonts w:ascii="Consolas" w:cs="Consolas" w:eastAsia="Consolas" w:hAnsi="Consolas"/>
                <w:color w:val="555555"/>
                <w:sz w:val="20"/>
                <w:szCs w:val="20"/>
              </w:rPr>
              <w:t xml:space="preserve">                                              │</w:t>
            </w:r>
          </w:p>
          <w:p>
            <w:pPr>
              <w:spacing w:after="200"/>
            </w:pPr>
            <w:r>
              <w:rPr>
                <w:rFonts w:ascii="Consolas" w:cs="Consolas" w:eastAsia="Consolas" w:hAnsi="Consolas"/>
                <w:color w:val="555555"/>
                <w:sz w:val="20"/>
                <w:szCs w:val="20"/>
              </w:rPr>
              <w:t xml:space="preserve">                                              └──&gt; store_transactions</w:t>
            </w:r>
          </w:p>
          <w:p>
            <w:pPr>
              <w:spacing w:after="60"/>
            </w:pPr>
            <w:r>
              <w:rPr>
                <w:rFonts w:ascii="Consolas" w:cs="Consolas" w:eastAsia="Consolas" w:hAnsi="Consolas"/>
                <w:i/>
                <w:iCs/>
                <w:color w:val="555555"/>
                <w:sz w:val="20"/>
                <w:szCs w:val="20"/>
              </w:rPr>
              <w:t xml:space="preserve">items, machines, operators, users  ←  master tables, referenced everywhere</w:t>
            </w:r>
          </w:p>
        </w:tc>
      </w:tr>
    </w:tbl>
    <w:p>
      <w:pPr>
        <w:spacing w:after="160"/>
      </w:pPr>
      <w:r>
        <w:rPr>
          <w:rFonts w:ascii="Calibri" w:cs="Calibri" w:eastAsia="Calibri" w:hAnsi="Calibri"/>
        </w:rPr>
        <w:t xml:space="preserve"/>
      </w:r>
    </w:p>
    <w:p>
      <w:pPr>
        <w:pStyle w:val="Heading3"/>
        <w:spacing w:after="100" w:before="200"/>
      </w:pPr>
      <w:r>
        <w:rPr>
          <w:rFonts w:ascii="Calibri" w:cs="Calibri" w:eastAsia="Calibri" w:hAnsi="Calibri"/>
          <w:b/>
          <w:bCs/>
          <w:color w:val="1A1A1A"/>
          <w:sz w:val="24"/>
          <w:szCs w:val="24"/>
        </w:rPr>
        <w:t xml:space="preserve">Module groups (final table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4"/>
              <w:left w:val="single" w:color="CCCCCC" w:sz="4"/>
              <w:bottom w:val="single" w:color="CCCCCC" w:sz="4"/>
              <w:right w:val="single" w:color="CCCCCC" w:sz="4"/>
            </w:tcBorders>
            <w:shd w:fill="1F3A68"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Module</w:t>
            </w:r>
          </w:p>
        </w:tc>
        <w:tc>
          <w:tcPr>
            <w:tcW w:type="dxa" w:w="1560"/>
            <w:tcBorders>
              <w:top w:val="single" w:color="CCCCCC" w:sz="4"/>
              <w:left w:val="single" w:color="CCCCCC" w:sz="4"/>
              <w:bottom w:val="single" w:color="CCCCCC" w:sz="4"/>
              <w:right w:val="single" w:color="CCCCCC" w:sz="4"/>
            </w:tcBorders>
            <w:shd w:fill="1F3A68"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Tables</w:t>
            </w:r>
          </w:p>
        </w:tc>
        <w:tc>
          <w:tcPr>
            <w:tcW w:type="dxa" w:w="4680"/>
            <w:tcBorders>
              <w:top w:val="single" w:color="CCCCCC" w:sz="4"/>
              <w:left w:val="single" w:color="CCCCCC" w:sz="4"/>
              <w:bottom w:val="single" w:color="CCCCCC" w:sz="4"/>
              <w:right w:val="single" w:color="CCCCCC" w:sz="4"/>
            </w:tcBorders>
            <w:shd w:fill="1F3A68"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Replaces (Firestore Collections)</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2"/>
                <w:szCs w:val="22"/>
              </w:rPr>
              <w:t xml:space="preserve">Master Data</w:t>
            </w:r>
          </w:p>
        </w:tc>
        <w:tc>
          <w:tcPr>
            <w:tcW w:type="dxa" w:w="15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center"/>
            </w:pPr>
            <w:r>
              <w:rPr>
                <w:rFonts w:ascii="Calibri" w:cs="Calibri" w:eastAsia="Calibri" w:hAnsi="Calibri"/>
                <w:b w:val="false"/>
                <w:bCs w:val="false"/>
                <w:color w:val="1A1A1A"/>
                <w:sz w:val="22"/>
                <w:szCs w:val="22"/>
              </w:rPr>
              <w:t xml:space="preserve">7</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companies, users, clients, vendors, items, machines, operators</w:t>
            </w:r>
          </w:p>
        </w:tc>
      </w:tr>
      <w:tr>
        <w:tc>
          <w:tcPr>
            <w:tcW w:type="dxa" w:w="312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bCs/>
                <w:color w:val="1A1A1A"/>
                <w:sz w:val="22"/>
                <w:szCs w:val="22"/>
              </w:rPr>
              <w:t xml:space="preserve">Sales &amp; Production</w:t>
            </w:r>
          </w:p>
        </w:tc>
        <w:tc>
          <w:tcPr>
            <w:tcW w:type="dxa" w:w="156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center"/>
            </w:pPr>
            <w:r>
              <w:rPr>
                <w:rFonts w:ascii="Calibri" w:cs="Calibri" w:eastAsia="Calibri" w:hAnsi="Calibri"/>
                <w:b w:val="false"/>
                <w:bCs w:val="false"/>
                <w:color w:val="1A1A1A"/>
                <w:sz w:val="22"/>
                <w:szCs w:val="22"/>
              </w:rPr>
              <w:t xml:space="preserve">6</w:t>
            </w:r>
          </w:p>
        </w:tc>
        <w:tc>
          <w:tcPr>
            <w:tcW w:type="dxa" w:w="468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salesOrders, jobWorkOrders, jobCards, jcOps, opLog, runningOps</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2"/>
                <w:szCs w:val="22"/>
              </w:rPr>
              <w:t xml:space="preserve">Procurement</w:t>
            </w:r>
          </w:p>
        </w:tc>
        <w:tc>
          <w:tcPr>
            <w:tcW w:type="dxa" w:w="15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center"/>
            </w:pPr>
            <w:r>
              <w:rPr>
                <w:rFonts w:ascii="Calibri" w:cs="Calibri" w:eastAsia="Calibri" w:hAnsi="Calibri"/>
                <w:b w:val="false"/>
                <w:bCs w:val="false"/>
                <w:color w:val="1A1A1A"/>
                <w:sz w:val="22"/>
                <w:szCs w:val="22"/>
              </w:rPr>
              <w:t xml:space="preserve">5</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purchaseRequests, purchaseOrders, grn, storeTransactions, storeIssues</w:t>
            </w:r>
          </w:p>
        </w:tc>
      </w:tr>
      <w:tr>
        <w:tc>
          <w:tcPr>
            <w:tcW w:type="dxa" w:w="312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bCs/>
                <w:color w:val="1A1A1A"/>
                <w:sz w:val="22"/>
                <w:szCs w:val="22"/>
              </w:rPr>
              <w:t xml:space="preserve">Quality (QC + NC)</w:t>
            </w:r>
          </w:p>
        </w:tc>
        <w:tc>
          <w:tcPr>
            <w:tcW w:type="dxa" w:w="156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center"/>
            </w:pPr>
            <w:r>
              <w:rPr>
                <w:rFonts w:ascii="Calibri" w:cs="Calibri" w:eastAsia="Calibri" w:hAnsi="Calibri"/>
                <w:b w:val="false"/>
                <w:bCs w:val="false"/>
                <w:color w:val="1A1A1A"/>
                <w:sz w:val="22"/>
                <w:szCs w:val="22"/>
              </w:rPr>
              <w:t xml:space="preserve">4</w:t>
            </w:r>
          </w:p>
        </w:tc>
        <w:tc>
          <w:tcPr>
            <w:tcW w:type="dxa" w:w="468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qcProcesses, qcAssignments, qcDocUploads, ncRegister, capaRecords</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2"/>
                <w:szCs w:val="22"/>
              </w:rPr>
              <w:t xml:space="preserve">Dispatch &amp; Delivery</w:t>
            </w:r>
          </w:p>
        </w:tc>
        <w:tc>
          <w:tcPr>
            <w:tcW w:type="dxa" w:w="15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center"/>
            </w:pPr>
            <w:r>
              <w:rPr>
                <w:rFonts w:ascii="Calibri" w:cs="Calibri" w:eastAsia="Calibri" w:hAnsi="Calibri"/>
                <w:b w:val="false"/>
                <w:bCs w:val="false"/>
                <w:color w:val="1A1A1A"/>
                <w:sz w:val="22"/>
                <w:szCs w:val="22"/>
              </w:rPr>
              <w:t xml:space="preserve">3</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jwDCOutward, jwDCInward, challans, dispatchLog (consolidated with direction enum)</w:t>
            </w:r>
          </w:p>
        </w:tc>
      </w:tr>
      <w:tr>
        <w:tc>
          <w:tcPr>
            <w:tcW w:type="dxa" w:w="312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bCs/>
                <w:color w:val="1A1A1A"/>
                <w:sz w:val="22"/>
                <w:szCs w:val="22"/>
              </w:rPr>
              <w:t xml:space="preserve">Design Tracker</w:t>
            </w:r>
          </w:p>
        </w:tc>
        <w:tc>
          <w:tcPr>
            <w:tcW w:type="dxa" w:w="156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center"/>
            </w:pPr>
            <w:r>
              <w:rPr>
                <w:rFonts w:ascii="Calibri" w:cs="Calibri" w:eastAsia="Calibri" w:hAnsi="Calibri"/>
                <w:b w:val="false"/>
                <w:bCs w:val="false"/>
                <w:color w:val="1A1A1A"/>
                <w:sz w:val="22"/>
                <w:szCs w:val="22"/>
              </w:rPr>
              <w:t xml:space="preserve">4</w:t>
            </w:r>
          </w:p>
        </w:tc>
        <w:tc>
          <w:tcPr>
            <w:tcW w:type="dxa" w:w="468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designProjects, designTasks, designIssues, designWorkLog, designTimeLog, designDCRs, designDCNs</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2"/>
                <w:szCs w:val="22"/>
              </w:rPr>
              <w:t xml:space="preserve">CRM</w:t>
            </w:r>
          </w:p>
        </w:tc>
        <w:tc>
          <w:tcPr>
            <w:tcW w:type="dxa" w:w="15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center"/>
            </w:pPr>
            <w:r>
              <w:rPr>
                <w:rFonts w:ascii="Calibri" w:cs="Calibri" w:eastAsia="Calibri" w:hAnsi="Calibri"/>
                <w:b w:val="false"/>
                <w:bCs w:val="false"/>
                <w:color w:val="1A1A1A"/>
                <w:sz w:val="22"/>
                <w:szCs w:val="22"/>
              </w:rPr>
              <w:t xml:space="preserve">3</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leads, communications, crmReminders</w:t>
            </w:r>
          </w:p>
        </w:tc>
      </w:tr>
      <w:tr>
        <w:tc>
          <w:tcPr>
            <w:tcW w:type="dxa" w:w="312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bCs/>
                <w:color w:val="1A1A1A"/>
                <w:sz w:val="22"/>
                <w:szCs w:val="22"/>
              </w:rPr>
              <w:t xml:space="preserve">Outsource &amp; Job-Work</w:t>
            </w:r>
          </w:p>
        </w:tc>
        <w:tc>
          <w:tcPr>
            <w:tcW w:type="dxa" w:w="156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center"/>
            </w:pPr>
            <w:r>
              <w:rPr>
                <w:rFonts w:ascii="Calibri" w:cs="Calibri" w:eastAsia="Calibri" w:hAnsi="Calibri"/>
                <w:b w:val="false"/>
                <w:bCs w:val="false"/>
                <w:color w:val="1A1A1A"/>
                <w:sz w:val="22"/>
                <w:szCs w:val="22"/>
              </w:rPr>
              <w:t xml:space="preserve">3</w:t>
            </w:r>
          </w:p>
        </w:tc>
        <w:tc>
          <w:tcPr>
            <w:tcW w:type="dxa" w:w="468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outsourceJobs, ospProcessConfig, ospDC, servicePOs</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2"/>
                <w:szCs w:val="22"/>
              </w:rPr>
              <w:t xml:space="preserve">Audit &amp; Logging</w:t>
            </w:r>
          </w:p>
        </w:tc>
        <w:tc>
          <w:tcPr>
            <w:tcW w:type="dxa" w:w="15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center"/>
            </w:pPr>
            <w:r>
              <w:rPr>
                <w:rFonts w:ascii="Calibri" w:cs="Calibri" w:eastAsia="Calibri" w:hAnsi="Calibri"/>
                <w:b w:val="false"/>
                <w:bCs w:val="false"/>
                <w:color w:val="1A1A1A"/>
                <w:sz w:val="22"/>
                <w:szCs w:val="22"/>
              </w:rPr>
              <w:t xml:space="preserve">2</w:t>
            </w:r>
          </w:p>
        </w:tc>
        <w:tc>
          <w:tcPr>
            <w:tcW w:type="dxa" w:w="46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activityLog, trash (replaced by soft delete)</w:t>
            </w:r>
          </w:p>
        </w:tc>
      </w:tr>
      <w:tr>
        <w:tc>
          <w:tcPr>
            <w:tcW w:type="dxa" w:w="312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bCs/>
                <w:color w:val="1A1A1A"/>
                <w:sz w:val="22"/>
                <w:szCs w:val="22"/>
              </w:rPr>
              <w:t xml:space="preserve">Configuration</w:t>
            </w:r>
          </w:p>
        </w:tc>
        <w:tc>
          <w:tcPr>
            <w:tcW w:type="dxa" w:w="156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center"/>
            </w:pPr>
            <w:r>
              <w:rPr>
                <w:rFonts w:ascii="Calibri" w:cs="Calibri" w:eastAsia="Calibri" w:hAnsi="Calibri"/>
                <w:b w:val="false"/>
                <w:bCs w:val="false"/>
                <w:color w:val="1A1A1A"/>
                <w:sz w:val="22"/>
                <w:szCs w:val="22"/>
              </w:rPr>
              <w:t xml:space="preserve">4</w:t>
            </w:r>
          </w:p>
        </w:tc>
        <w:tc>
          <w:tcPr>
            <w:tcW w:type="dxa" w:w="468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dashboardConfig, alertConfig, printTemplates, stuckThresholds, reportTypes</w:t>
            </w:r>
          </w:p>
        </w:tc>
      </w:tr>
      <w:tr>
        <w:tc>
          <w:tcPr>
            <w:tcW w:type="dxa" w:w="3120"/>
            <w:tcBorders>
              <w:top w:val="single" w:color="CCCCCC" w:sz="4"/>
              <w:left w:val="single" w:color="CCCCCC" w:sz="4"/>
              <w:bottom w:val="single" w:color="CCCCCC" w:sz="4"/>
              <w:right w:val="single" w:color="CCCCCC" w:sz="4"/>
            </w:tcBorders>
            <w:shd w:fill="C8AB37"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TOTAL</w:t>
            </w:r>
          </w:p>
        </w:tc>
        <w:tc>
          <w:tcPr>
            <w:tcW w:type="dxa" w:w="1560"/>
            <w:tcBorders>
              <w:top w:val="single" w:color="CCCCCC" w:sz="4"/>
              <w:left w:val="single" w:color="CCCCCC" w:sz="4"/>
              <w:bottom w:val="single" w:color="CCCCCC" w:sz="4"/>
              <w:right w:val="single" w:color="CCCCCC" w:sz="4"/>
            </w:tcBorders>
            <w:shd w:fill="C8AB37" w:val="clear"/>
            <w:tcMar>
              <w:top w:type="dxa" w:w="120"/>
              <w:left w:type="dxa" w:w="160"/>
              <w:bottom w:type="dxa" w:w="120"/>
              <w:right w:type="dxa" w:w="160"/>
            </w:tcMar>
          </w:tcPr>
          <w:p>
            <w:pPr>
              <w:jc w:val="center"/>
            </w:pPr>
            <w:r>
              <w:rPr>
                <w:rFonts w:ascii="Calibri" w:cs="Calibri" w:eastAsia="Calibri" w:hAnsi="Calibri"/>
                <w:b/>
                <w:bCs/>
                <w:color w:val="FFFFFF"/>
                <w:sz w:val="22"/>
                <w:szCs w:val="22"/>
              </w:rPr>
              <w:t xml:space="preserve">~41</w:t>
            </w:r>
          </w:p>
        </w:tc>
        <w:tc>
          <w:tcPr>
            <w:tcW w:type="dxa" w:w="4680"/>
            <w:tcBorders>
              <w:top w:val="single" w:color="CCCCCC" w:sz="4"/>
              <w:left w:val="single" w:color="CCCCCC" w:sz="4"/>
              <w:bottom w:val="single" w:color="CCCCCC" w:sz="4"/>
              <w:right w:val="single" w:color="CCCCCC" w:sz="4"/>
            </w:tcBorders>
            <w:shd w:fill="C8AB37"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Replaces 67 Firestore collections</w:t>
            </w:r>
          </w:p>
        </w:tc>
      </w:tr>
    </w:tbl>
    <w:p>
      <w:pPr>
        <w:spacing w:after="160"/>
      </w:pPr>
      <w:r>
        <w:rPr>
          <w:rFonts w:ascii="Calibri" w:cs="Calibri" w:eastAsia="Calibri" w:hAnsi="Calibri"/>
        </w:rPr>
        <w:t xml:space="preserve"/>
      </w:r>
    </w:p>
    <w:p>
      <w:pPr>
        <w:pStyle w:val="Heading3"/>
        <w:spacing w:after="100" w:before="200"/>
      </w:pPr>
      <w:r>
        <w:rPr>
          <w:rFonts w:ascii="Calibri" w:cs="Calibri" w:eastAsia="Calibri" w:hAnsi="Calibri"/>
          <w:b/>
          <w:bCs/>
          <w:color w:val="1A1A1A"/>
          <w:sz w:val="24"/>
          <w:szCs w:val="24"/>
        </w:rPr>
        <w:t xml:space="preserve">Universal table conventions</w:t>
      </w:r>
    </w:p>
    <w:p>
      <w:pPr>
        <w:spacing w:after="100" w:before="0"/>
        <w:jc w:val="left"/>
      </w:pPr>
      <w:r>
        <w:rPr>
          <w:rFonts w:ascii="Calibri" w:cs="Calibri" w:eastAsia="Calibri" w:hAnsi="Calibri"/>
          <w:b w:val="false"/>
          <w:bCs w:val="false"/>
          <w:i w:val="false"/>
          <w:iCs w:val="false"/>
          <w:color w:val="1A1A1A"/>
          <w:sz w:val="22"/>
          <w:szCs w:val="22"/>
        </w:rPr>
        <w:t xml:space="preserve">Every table in the new schema includes the following columns by default. This is non-negotiable — applied via a migration template at table creation time.</w:t>
      </w:r>
    </w:p>
    <w:p>
      <w:pPr>
        <w:pStyle w:val="ListParagraph"/>
        <w:numPr>
          <w:ilvl w:val="0"/>
          <w:numId w:val="2"/>
        </w:numPr>
        <w:spacing w:after="80"/>
      </w:pPr>
      <w:r>
        <w:rPr>
          <w:rFonts w:ascii="Calibri" w:cs="Calibri" w:eastAsia="Calibri" w:hAnsi="Calibri"/>
          <w:b/>
          <w:bCs/>
          <w:i w:val="false"/>
          <w:iCs w:val="false"/>
          <w:color w:val="1A1A1A"/>
          <w:sz w:val="22"/>
          <w:szCs w:val="22"/>
        </w:rPr>
        <w:t xml:space="preserve">id </w:t>
      </w:r>
      <w:r>
        <w:rPr>
          <w:rFonts w:ascii="Calibri" w:cs="Calibri" w:eastAsia="Calibri" w:hAnsi="Calibri"/>
          <w:b w:val="false"/>
          <w:bCs w:val="false"/>
          <w:i w:val="false"/>
          <w:iCs w:val="false"/>
          <w:color w:val="1A1A1A"/>
          <w:sz w:val="22"/>
          <w:szCs w:val="22"/>
        </w:rPr>
        <w:t xml:space="preserve">— UUID primary key (auto-generated)</w:t>
      </w:r>
    </w:p>
    <w:p>
      <w:pPr>
        <w:pStyle w:val="ListParagraph"/>
        <w:numPr>
          <w:ilvl w:val="0"/>
          <w:numId w:val="2"/>
        </w:numPr>
        <w:spacing w:after="80"/>
      </w:pPr>
      <w:r>
        <w:rPr>
          <w:rFonts w:ascii="Calibri" w:cs="Calibri" w:eastAsia="Calibri" w:hAnsi="Calibri"/>
          <w:b/>
          <w:bCs/>
          <w:i w:val="false"/>
          <w:iCs w:val="false"/>
          <w:color w:val="1A1A1A"/>
          <w:sz w:val="22"/>
          <w:szCs w:val="22"/>
        </w:rPr>
        <w:t xml:space="preserve">company_id </w:t>
      </w:r>
      <w:r>
        <w:rPr>
          <w:rFonts w:ascii="Calibri" w:cs="Calibri" w:eastAsia="Calibri" w:hAnsi="Calibri"/>
          <w:b w:val="false"/>
          <w:bCs w:val="false"/>
          <w:i w:val="false"/>
          <w:iCs w:val="false"/>
          <w:color w:val="1A1A1A"/>
          <w:sz w:val="22"/>
          <w:szCs w:val="22"/>
        </w:rPr>
        <w:t xml:space="preserve">— Multi-tenant isolation from day one (free future-proofing if a second factory or client is onboarded)</w:t>
      </w:r>
    </w:p>
    <w:p>
      <w:pPr>
        <w:pStyle w:val="ListParagraph"/>
        <w:numPr>
          <w:ilvl w:val="0"/>
          <w:numId w:val="2"/>
        </w:numPr>
        <w:spacing w:after="80"/>
      </w:pPr>
      <w:r>
        <w:rPr>
          <w:rFonts w:ascii="Calibri" w:cs="Calibri" w:eastAsia="Calibri" w:hAnsi="Calibri"/>
          <w:b/>
          <w:bCs/>
          <w:i w:val="false"/>
          <w:iCs w:val="false"/>
          <w:color w:val="1A1A1A"/>
          <w:sz w:val="22"/>
          <w:szCs w:val="22"/>
        </w:rPr>
        <w:t xml:space="preserve">created_at, created_by, updated_at, updated_by </w:t>
      </w:r>
      <w:r>
        <w:rPr>
          <w:rFonts w:ascii="Calibri" w:cs="Calibri" w:eastAsia="Calibri" w:hAnsi="Calibri"/>
          <w:b w:val="false"/>
          <w:bCs w:val="false"/>
          <w:i w:val="false"/>
          <w:iCs w:val="false"/>
          <w:color w:val="1A1A1A"/>
          <w:sz w:val="22"/>
          <w:szCs w:val="22"/>
        </w:rPr>
        <w:t xml:space="preserve">— Full audit trail on every record</w:t>
      </w:r>
    </w:p>
    <w:p>
      <w:pPr>
        <w:pStyle w:val="ListParagraph"/>
        <w:numPr>
          <w:ilvl w:val="0"/>
          <w:numId w:val="2"/>
        </w:numPr>
        <w:spacing w:after="80"/>
      </w:pPr>
      <w:r>
        <w:rPr>
          <w:rFonts w:ascii="Calibri" w:cs="Calibri" w:eastAsia="Calibri" w:hAnsi="Calibri"/>
          <w:b/>
          <w:bCs/>
          <w:i w:val="false"/>
          <w:iCs w:val="false"/>
          <w:color w:val="1A1A1A"/>
          <w:sz w:val="22"/>
          <w:szCs w:val="22"/>
        </w:rPr>
        <w:t xml:space="preserve">deleted_at </w:t>
      </w:r>
      <w:r>
        <w:rPr>
          <w:rFonts w:ascii="Calibri" w:cs="Calibri" w:eastAsia="Calibri" w:hAnsi="Calibri"/>
          <w:b w:val="false"/>
          <w:bCs w:val="false"/>
          <w:i w:val="false"/>
          <w:iCs w:val="false"/>
          <w:color w:val="1A1A1A"/>
          <w:sz w:val="22"/>
          <w:szCs w:val="22"/>
        </w:rPr>
        <w:t xml:space="preserve">— Soft delete (replaces the current 'trash' collection; nothing is ever truly destroyed)</w:t>
      </w:r>
    </w:p>
    <w:p>
      <w:pPr>
        <w:pStyle w:val="ListParagraph"/>
        <w:numPr>
          <w:ilvl w:val="0"/>
          <w:numId w:val="2"/>
        </w:numPr>
        <w:spacing w:after="80"/>
      </w:pPr>
      <w:r>
        <w:rPr>
          <w:rFonts w:ascii="Calibri" w:cs="Calibri" w:eastAsia="Calibri" w:hAnsi="Calibri"/>
          <w:b/>
          <w:bCs/>
          <w:i w:val="false"/>
          <w:iCs w:val="false"/>
          <w:color w:val="1A1A1A"/>
          <w:sz w:val="22"/>
          <w:szCs w:val="22"/>
        </w:rPr>
        <w:t xml:space="preserve">Row-Level Security policy </w:t>
      </w:r>
      <w:r>
        <w:rPr>
          <w:rFonts w:ascii="Calibri" w:cs="Calibri" w:eastAsia="Calibri" w:hAnsi="Calibri"/>
          <w:b w:val="false"/>
          <w:bCs w:val="false"/>
          <w:i w:val="false"/>
          <w:iCs w:val="false"/>
          <w:color w:val="1A1A1A"/>
          <w:sz w:val="22"/>
          <w:szCs w:val="22"/>
        </w:rPr>
        <w:t xml:space="preserve">— Database-enforced authorization based on company_id and user role</w:t>
      </w:r>
    </w:p>
    <w:p>
      <w:r>
        <w:br w:type="page"/>
      </w:r>
    </w:p>
    <w:p>
      <w:pPr>
        <w:pStyle w:val="Heading1"/>
        <w:spacing w:after="200" w:before="360"/>
      </w:pPr>
      <w:r>
        <w:rPr>
          <w:rFonts w:ascii="Calibri" w:cs="Calibri" w:eastAsia="Calibri" w:hAnsi="Calibri"/>
          <w:b/>
          <w:bCs/>
          <w:color w:val="1F3A68"/>
          <w:sz w:val="36"/>
          <w:szCs w:val="36"/>
        </w:rPr>
        <w:t xml:space="preserve">6. Migration Plan — 12 Week Roadmap</w:t>
      </w:r>
    </w:p>
    <w:p>
      <w:pPr>
        <w:spacing w:after="200" w:before="0"/>
        <w:jc w:val="left"/>
      </w:pPr>
      <w:r>
        <w:rPr>
          <w:rFonts w:ascii="Calibri" w:cs="Calibri" w:eastAsia="Calibri" w:hAnsi="Calibri"/>
          <w:b w:val="false"/>
          <w:bCs w:val="false"/>
          <w:i w:val="false"/>
          <w:iCs w:val="false"/>
          <w:color w:val="1A1A1A"/>
          <w:sz w:val="22"/>
          <w:szCs w:val="22"/>
        </w:rPr>
        <w:t xml:space="preserve">The migration follows the strangler pattern: the existing HTML system continues running for the entire 12 weeks. New modules are deployed alongside the old system and validated in parallel before each cutover. There is no big-bang weekend cutover and no extended downtime.</w:t>
      </w:r>
    </w:p>
    <w:p>
      <w:pPr>
        <w:pStyle w:val="Heading3"/>
        <w:spacing w:after="100" w:before="200"/>
      </w:pPr>
      <w:r>
        <w:rPr>
          <w:rFonts w:ascii="Calibri" w:cs="Calibri" w:eastAsia="Calibri" w:hAnsi="Calibri"/>
          <w:b/>
          <w:bCs/>
          <w:color w:val="1A1A1A"/>
          <w:sz w:val="24"/>
          <w:szCs w:val="24"/>
        </w:rPr>
        <w:t xml:space="preserve">Timeline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80"/>
        <w:gridCol w:w="5280"/>
      </w:tblGrid>
      <w:tr>
        <w:tc>
          <w:tcPr>
            <w:tcW w:type="dxa" w:w="1200"/>
            <w:tcBorders>
              <w:top w:val="single" w:color="CCCCCC" w:sz="4"/>
              <w:left w:val="single" w:color="CCCCCC" w:sz="4"/>
              <w:bottom w:val="single" w:color="CCCCCC" w:sz="4"/>
              <w:right w:val="single" w:color="CCCCCC" w:sz="4"/>
            </w:tcBorders>
            <w:shd w:fill="1F3A68"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Phase</w:t>
            </w:r>
          </w:p>
        </w:tc>
        <w:tc>
          <w:tcPr>
            <w:tcW w:type="dxa" w:w="2880"/>
            <w:tcBorders>
              <w:top w:val="single" w:color="CCCCCC" w:sz="4"/>
              <w:left w:val="single" w:color="CCCCCC" w:sz="4"/>
              <w:bottom w:val="single" w:color="CCCCCC" w:sz="4"/>
              <w:right w:val="single" w:color="CCCCCC" w:sz="4"/>
            </w:tcBorders>
            <w:shd w:fill="1F3A68"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Week</w:t>
            </w:r>
          </w:p>
        </w:tc>
        <w:tc>
          <w:tcPr>
            <w:tcW w:type="dxa" w:w="5280"/>
            <w:tcBorders>
              <w:top w:val="single" w:color="CCCCCC" w:sz="4"/>
              <w:left w:val="single" w:color="CCCCCC" w:sz="4"/>
              <w:bottom w:val="single" w:color="CCCCCC" w:sz="4"/>
              <w:right w:val="single" w:color="CCCCCC" w:sz="4"/>
            </w:tcBorders>
            <w:shd w:fill="1F3A68"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Deliverable</w:t>
            </w:r>
          </w:p>
        </w:tc>
      </w:tr>
      <w:tr>
        <w:tc>
          <w:tcPr>
            <w:tcW w:type="dxa" w:w="1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center"/>
            </w:pPr>
            <w:r>
              <w:rPr>
                <w:rFonts w:ascii="Calibri" w:cs="Calibri" w:eastAsia="Calibri" w:hAnsi="Calibri"/>
                <w:b/>
                <w:bCs/>
                <w:color w:val="1A1A1A"/>
                <w:sz w:val="22"/>
                <w:szCs w:val="22"/>
              </w:rPr>
              <w:t xml:space="preserve">0</w:t>
            </w:r>
          </w:p>
        </w:tc>
        <w:tc>
          <w:tcPr>
            <w:tcW w:type="dxa" w:w="28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Pre-kickoff (3 days)</w:t>
            </w:r>
          </w:p>
        </w:tc>
        <w:tc>
          <w:tcPr>
            <w:tcW w:type="dxa" w:w="52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Accounts provisioned, repository created, schema designed and reviewed</w:t>
            </w:r>
          </w:p>
        </w:tc>
      </w:tr>
      <w:tr>
        <w:tc>
          <w:tcPr>
            <w:tcW w:type="dxa" w:w="120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center"/>
            </w:pPr>
            <w:r>
              <w:rPr>
                <w:rFonts w:ascii="Calibri" w:cs="Calibri" w:eastAsia="Calibri" w:hAnsi="Calibri"/>
                <w:b/>
                <w:bCs/>
                <w:color w:val="1A1A1A"/>
                <w:sz w:val="22"/>
                <w:szCs w:val="22"/>
              </w:rPr>
              <w:t xml:space="preserve">1</w:t>
            </w:r>
          </w:p>
        </w:tc>
        <w:tc>
          <w:tcPr>
            <w:tcW w:type="dxa" w:w="288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Week 1–2</w:t>
            </w:r>
          </w:p>
        </w:tc>
        <w:tc>
          <w:tcPr>
            <w:tcW w:type="dxa" w:w="528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Foundation — auth, schema deployed, first end-to-end module (Items master)</w:t>
            </w:r>
          </w:p>
        </w:tc>
      </w:tr>
      <w:tr>
        <w:tc>
          <w:tcPr>
            <w:tcW w:type="dxa" w:w="1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center"/>
            </w:pPr>
            <w:r>
              <w:rPr>
                <w:rFonts w:ascii="Calibri" w:cs="Calibri" w:eastAsia="Calibri" w:hAnsi="Calibri"/>
                <w:b/>
                <w:bCs/>
                <w:color w:val="1A1A1A"/>
                <w:sz w:val="22"/>
                <w:szCs w:val="22"/>
              </w:rPr>
              <w:t xml:space="preserve">2</w:t>
            </w:r>
          </w:p>
        </w:tc>
        <w:tc>
          <w:tcPr>
            <w:tcW w:type="dxa" w:w="28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Week 3</w:t>
            </w:r>
          </w:p>
        </w:tc>
        <w:tc>
          <w:tcPr>
            <w:tcW w:type="dxa" w:w="52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All master data migrated and editable in new system</w:t>
            </w:r>
          </w:p>
        </w:tc>
      </w:tr>
      <w:tr>
        <w:tc>
          <w:tcPr>
            <w:tcW w:type="dxa" w:w="120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center"/>
            </w:pPr>
            <w:r>
              <w:rPr>
                <w:rFonts w:ascii="Calibri" w:cs="Calibri" w:eastAsia="Calibri" w:hAnsi="Calibri"/>
                <w:b/>
                <w:bCs/>
                <w:color w:val="1A1A1A"/>
                <w:sz w:val="22"/>
                <w:szCs w:val="22"/>
              </w:rPr>
              <w:t xml:space="preserve">3</w:t>
            </w:r>
          </w:p>
        </w:tc>
        <w:tc>
          <w:tcPr>
            <w:tcW w:type="dxa" w:w="288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Week 4–5</w:t>
            </w:r>
          </w:p>
        </w:tc>
        <w:tc>
          <w:tcPr>
            <w:tcW w:type="dxa" w:w="528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Op Entry module live (highest-frequency, multi-user pain point)</w:t>
            </w:r>
          </w:p>
        </w:tc>
      </w:tr>
      <w:tr>
        <w:tc>
          <w:tcPr>
            <w:tcW w:type="dxa" w:w="1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center"/>
            </w:pPr>
            <w:r>
              <w:rPr>
                <w:rFonts w:ascii="Calibri" w:cs="Calibri" w:eastAsia="Calibri" w:hAnsi="Calibri"/>
                <w:b/>
                <w:bCs/>
                <w:color w:val="1A1A1A"/>
                <w:sz w:val="22"/>
                <w:szCs w:val="22"/>
              </w:rPr>
              <w:t xml:space="preserve">4</w:t>
            </w:r>
          </w:p>
        </w:tc>
        <w:tc>
          <w:tcPr>
            <w:tcW w:type="dxa" w:w="28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Week 6–7</w:t>
            </w:r>
          </w:p>
        </w:tc>
        <w:tc>
          <w:tcPr>
            <w:tcW w:type="dxa" w:w="52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Sales chain — SO, JW, JC fully migrated</w:t>
            </w:r>
          </w:p>
        </w:tc>
      </w:tr>
      <w:tr>
        <w:tc>
          <w:tcPr>
            <w:tcW w:type="dxa" w:w="120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center"/>
            </w:pPr>
            <w:r>
              <w:rPr>
                <w:rFonts w:ascii="Calibri" w:cs="Calibri" w:eastAsia="Calibri" w:hAnsi="Calibri"/>
                <w:b/>
                <w:bCs/>
                <w:color w:val="1A1A1A"/>
                <w:sz w:val="22"/>
                <w:szCs w:val="22"/>
              </w:rPr>
              <w:t xml:space="preserve">5</w:t>
            </w:r>
          </w:p>
        </w:tc>
        <w:tc>
          <w:tcPr>
            <w:tcW w:type="dxa" w:w="288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Week 8</w:t>
            </w:r>
          </w:p>
        </w:tc>
        <w:tc>
          <w:tcPr>
            <w:tcW w:type="dxa" w:w="528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Procurement chain — PO, GRN, store transactions</w:t>
            </w:r>
          </w:p>
        </w:tc>
      </w:tr>
      <w:tr>
        <w:tc>
          <w:tcPr>
            <w:tcW w:type="dxa" w:w="1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center"/>
            </w:pPr>
            <w:r>
              <w:rPr>
                <w:rFonts w:ascii="Calibri" w:cs="Calibri" w:eastAsia="Calibri" w:hAnsi="Calibri"/>
                <w:b/>
                <w:bCs/>
                <w:color w:val="1A1A1A"/>
                <w:sz w:val="22"/>
                <w:szCs w:val="22"/>
              </w:rPr>
              <w:t xml:space="preserve">6</w:t>
            </w:r>
          </w:p>
        </w:tc>
        <w:tc>
          <w:tcPr>
            <w:tcW w:type="dxa" w:w="28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Week 9</w:t>
            </w:r>
          </w:p>
        </w:tc>
        <w:tc>
          <w:tcPr>
            <w:tcW w:type="dxa" w:w="52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QC, NC register, dispatch</w:t>
            </w:r>
          </w:p>
        </w:tc>
      </w:tr>
      <w:tr>
        <w:tc>
          <w:tcPr>
            <w:tcW w:type="dxa" w:w="120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center"/>
            </w:pPr>
            <w:r>
              <w:rPr>
                <w:rFonts w:ascii="Calibri" w:cs="Calibri" w:eastAsia="Calibri" w:hAnsi="Calibri"/>
                <w:b/>
                <w:bCs/>
                <w:color w:val="1A1A1A"/>
                <w:sz w:val="22"/>
                <w:szCs w:val="22"/>
              </w:rPr>
              <w:t xml:space="preserve">7</w:t>
            </w:r>
          </w:p>
        </w:tc>
        <w:tc>
          <w:tcPr>
            <w:tcW w:type="dxa" w:w="288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Week 10</w:t>
            </w:r>
          </w:p>
        </w:tc>
        <w:tc>
          <w:tcPr>
            <w:tcW w:type="dxa" w:w="528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Reports, dashboards, role-based KPIs</w:t>
            </w:r>
          </w:p>
        </w:tc>
      </w:tr>
      <w:tr>
        <w:tc>
          <w:tcPr>
            <w:tcW w:type="dxa" w:w="1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center"/>
            </w:pPr>
            <w:r>
              <w:rPr>
                <w:rFonts w:ascii="Calibri" w:cs="Calibri" w:eastAsia="Calibri" w:hAnsi="Calibri"/>
                <w:b/>
                <w:bCs/>
                <w:color w:val="1A1A1A"/>
                <w:sz w:val="22"/>
                <w:szCs w:val="22"/>
              </w:rPr>
              <w:t xml:space="preserve">8</w:t>
            </w:r>
          </w:p>
        </w:tc>
        <w:tc>
          <w:tcPr>
            <w:tcW w:type="dxa" w:w="28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Week 11</w:t>
            </w:r>
          </w:p>
        </w:tc>
        <w:tc>
          <w:tcPr>
            <w:tcW w:type="dxa" w:w="52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Peripheral modules — design tracker, CRM, tools, CAPA, print templates</w:t>
            </w:r>
          </w:p>
        </w:tc>
      </w:tr>
      <w:tr>
        <w:tc>
          <w:tcPr>
            <w:tcW w:type="dxa" w:w="1200"/>
            <w:tcBorders>
              <w:top w:val="single" w:color="CCCCCC" w:sz="4"/>
              <w:left w:val="single" w:color="CCCCCC" w:sz="4"/>
              <w:bottom w:val="single" w:color="CCCCCC" w:sz="4"/>
              <w:right w:val="single" w:color="CCCCCC" w:sz="4"/>
            </w:tcBorders>
            <w:shd w:fill="C8AB37" w:val="clear"/>
            <w:tcMar>
              <w:top w:type="dxa" w:w="120"/>
              <w:left w:type="dxa" w:w="160"/>
              <w:bottom w:type="dxa" w:w="120"/>
              <w:right w:type="dxa" w:w="160"/>
            </w:tcMar>
          </w:tcPr>
          <w:p>
            <w:pPr>
              <w:jc w:val="center"/>
            </w:pPr>
            <w:r>
              <w:rPr>
                <w:rFonts w:ascii="Calibri" w:cs="Calibri" w:eastAsia="Calibri" w:hAnsi="Calibri"/>
                <w:b/>
                <w:bCs/>
                <w:color w:val="FFFFFF"/>
                <w:sz w:val="22"/>
                <w:szCs w:val="22"/>
              </w:rPr>
              <w:t xml:space="preserve">9</w:t>
            </w:r>
          </w:p>
        </w:tc>
        <w:tc>
          <w:tcPr>
            <w:tcW w:type="dxa" w:w="2880"/>
            <w:tcBorders>
              <w:top w:val="single" w:color="CCCCCC" w:sz="4"/>
              <w:left w:val="single" w:color="CCCCCC" w:sz="4"/>
              <w:bottom w:val="single" w:color="CCCCCC" w:sz="4"/>
              <w:right w:val="single" w:color="CCCCCC" w:sz="4"/>
            </w:tcBorders>
            <w:shd w:fill="C8AB37" w:val="clear"/>
            <w:tcMar>
              <w:top w:type="dxa" w:w="120"/>
              <w:left w:type="dxa" w:w="160"/>
              <w:bottom w:type="dxa" w:w="120"/>
              <w:right w:type="dxa" w:w="160"/>
            </w:tcMar>
          </w:tcPr>
          <w:p>
            <w:pPr>
              <w:jc w:val="left"/>
            </w:pPr>
            <w:r>
              <w:rPr>
                <w:rFonts w:ascii="Calibri" w:cs="Calibri" w:eastAsia="Calibri" w:hAnsi="Calibri"/>
                <w:b w:val="false"/>
                <w:bCs w:val="false"/>
                <w:color w:val="FFFFFF"/>
                <w:sz w:val="22"/>
                <w:szCs w:val="22"/>
              </w:rPr>
              <w:t xml:space="preserve">Week 12</w:t>
            </w:r>
          </w:p>
        </w:tc>
        <w:tc>
          <w:tcPr>
            <w:tcW w:type="dxa" w:w="5280"/>
            <w:tcBorders>
              <w:top w:val="single" w:color="CCCCCC" w:sz="4"/>
              <w:left w:val="single" w:color="CCCCCC" w:sz="4"/>
              <w:bottom w:val="single" w:color="CCCCCC" w:sz="4"/>
              <w:right w:val="single" w:color="CCCCCC" w:sz="4"/>
            </w:tcBorders>
            <w:shd w:fill="C8AB37" w:val="clear"/>
            <w:tcMar>
              <w:top w:type="dxa" w:w="120"/>
              <w:left w:type="dxa" w:w="160"/>
              <w:bottom w:type="dxa" w:w="120"/>
              <w:right w:type="dxa" w:w="160"/>
            </w:tcMar>
          </w:tcPr>
          <w:p>
            <w:pPr>
              <w:jc w:val="left"/>
            </w:pPr>
            <w:r>
              <w:rPr>
                <w:rFonts w:ascii="Calibri" w:cs="Calibri" w:eastAsia="Calibri" w:hAnsi="Calibri"/>
                <w:b w:val="false"/>
                <w:bCs w:val="false"/>
                <w:color w:val="FFFFFF"/>
                <w:sz w:val="22"/>
                <w:szCs w:val="22"/>
              </w:rPr>
              <w:t xml:space="preserve">Final cutover — HTML system goes read-only, new system is sole source of truth</w:t>
            </w:r>
          </w:p>
        </w:tc>
      </w:tr>
    </w:tbl>
    <w:p>
      <w:pPr>
        <w:spacing w:after="160"/>
      </w:pPr>
      <w:r>
        <w:rPr>
          <w:rFonts w:ascii="Calibri" w:cs="Calibri" w:eastAsia="Calibri" w:hAnsi="Calibri"/>
        </w:rPr>
        <w:t xml:space="preserve"/>
      </w:r>
    </w:p>
    <w:p>
      <w:pPr>
        <w:pStyle w:val="Heading3"/>
        <w:spacing w:after="100" w:before="200"/>
      </w:pPr>
      <w:r>
        <w:rPr>
          <w:rFonts w:ascii="Calibri" w:cs="Calibri" w:eastAsia="Calibri" w:hAnsi="Calibri"/>
          <w:b/>
          <w:bCs/>
          <w:color w:val="1A1A1A"/>
          <w:sz w:val="24"/>
          <w:szCs w:val="24"/>
        </w:rPr>
        <w:t xml:space="preserve">Detailed scope per phase</w:t>
      </w:r>
    </w:p>
    <w:p>
      <w:pPr>
        <w:spacing w:after="120"/>
      </w:pPr>
      <w:r>
        <w:rPr>
          <w:rFonts w:ascii="Calibri" w:cs="Calibri" w:eastAsia="Calibri" w:hAnsi="Calibri"/>
        </w:rPr>
        <w:t xml:space="preserve"/>
      </w:r>
    </w:p>
    <w:p>
      <w:pPr>
        <w:spacing w:after="100" w:before="120"/>
      </w:pPr>
      <w:r>
        <w:rPr>
          <w:rFonts w:ascii="Calibri" w:cs="Calibri" w:eastAsia="Calibri" w:hAnsi="Calibri"/>
          <w:b/>
          <w:bCs/>
          <w:color w:val="1F3A68"/>
          <w:sz w:val="24"/>
          <w:szCs w:val="24"/>
        </w:rPr>
        <w:t xml:space="preserve">Phase 1 — Foundation (Week 1–2)</w:t>
      </w:r>
    </w:p>
    <w:p>
      <w:pPr>
        <w:pStyle w:val="ListParagraph"/>
        <w:numPr>
          <w:ilvl w:val="0"/>
          <w:numId w:val="2"/>
        </w:numPr>
        <w:spacing w:after="80"/>
      </w:pPr>
      <w:r>
        <w:rPr>
          <w:rFonts w:ascii="Calibri" w:cs="Calibri" w:eastAsia="Calibri" w:hAnsi="Calibri"/>
          <w:color w:val="1A1A1A"/>
          <w:sz w:val="22"/>
          <w:szCs w:val="22"/>
        </w:rPr>
        <w:t xml:space="preserve">Set up monorepo with pnpm workspaces, TypeScript, ESLint</w:t>
      </w:r>
    </w:p>
    <w:p>
      <w:pPr>
        <w:pStyle w:val="ListParagraph"/>
        <w:numPr>
          <w:ilvl w:val="0"/>
          <w:numId w:val="2"/>
        </w:numPr>
        <w:spacing w:after="80"/>
      </w:pPr>
      <w:r>
        <w:rPr>
          <w:rFonts w:ascii="Calibri" w:cs="Calibri" w:eastAsia="Calibri" w:hAnsi="Calibri"/>
          <w:color w:val="1A1A1A"/>
          <w:sz w:val="22"/>
          <w:szCs w:val="22"/>
        </w:rPr>
        <w:t xml:space="preserve">Bootstrap Fastify API: Drizzle ORM, Zod validation, Pino structured logs, error handling</w:t>
      </w:r>
    </w:p>
    <w:p>
      <w:pPr>
        <w:pStyle w:val="ListParagraph"/>
        <w:numPr>
          <w:ilvl w:val="0"/>
          <w:numId w:val="2"/>
        </w:numPr>
        <w:spacing w:after="80"/>
      </w:pPr>
      <w:r>
        <w:rPr>
          <w:rFonts w:ascii="Calibri" w:cs="Calibri" w:eastAsia="Calibri" w:hAnsi="Calibri"/>
          <w:color w:val="1A1A1A"/>
          <w:sz w:val="22"/>
          <w:szCs w:val="22"/>
        </w:rPr>
        <w:t xml:space="preserve">Bootstrap React frontend: Vite, Tailwind, shadcn/ui, TanStack Query, TanStack Router</w:t>
      </w:r>
    </w:p>
    <w:p>
      <w:pPr>
        <w:pStyle w:val="ListParagraph"/>
        <w:numPr>
          <w:ilvl w:val="0"/>
          <w:numId w:val="2"/>
        </w:numPr>
        <w:spacing w:after="80"/>
      </w:pPr>
      <w:r>
        <w:rPr>
          <w:rFonts w:ascii="Calibri" w:cs="Calibri" w:eastAsia="Calibri" w:hAnsi="Calibri"/>
          <w:color w:val="1A1A1A"/>
          <w:sz w:val="22"/>
          <w:szCs w:val="22"/>
        </w:rPr>
        <w:t xml:space="preserve">Apply complete schema to Supabase (all tables, indexes, RLS policies)</w:t>
      </w:r>
    </w:p>
    <w:p>
      <w:pPr>
        <w:pStyle w:val="ListParagraph"/>
        <w:numPr>
          <w:ilvl w:val="0"/>
          <w:numId w:val="2"/>
        </w:numPr>
        <w:spacing w:after="80"/>
      </w:pPr>
      <w:r>
        <w:rPr>
          <w:rFonts w:ascii="Calibri" w:cs="Calibri" w:eastAsia="Calibri" w:hAnsi="Calibri"/>
          <w:color w:val="1A1A1A"/>
          <w:sz w:val="22"/>
          <w:szCs w:val="22"/>
        </w:rPr>
        <w:t xml:space="preserve">Implement authentication flow end-to-end (login, JWT propagation, protected routes)</w:t>
      </w:r>
    </w:p>
    <w:p>
      <w:pPr>
        <w:pStyle w:val="ListParagraph"/>
        <w:numPr>
          <w:ilvl w:val="0"/>
          <w:numId w:val="2"/>
        </w:numPr>
        <w:spacing w:after="80"/>
      </w:pPr>
      <w:r>
        <w:rPr>
          <w:rFonts w:ascii="Calibri" w:cs="Calibri" w:eastAsia="Calibri" w:hAnsi="Calibri"/>
          <w:color w:val="1A1A1A"/>
          <w:sz w:val="22"/>
          <w:szCs w:val="22"/>
        </w:rPr>
        <w:t xml:space="preserve">Build Items master as the reference template for every other module</w:t>
      </w:r>
    </w:p>
    <w:p>
      <w:pPr>
        <w:pStyle w:val="ListParagraph"/>
        <w:numPr>
          <w:ilvl w:val="0"/>
          <w:numId w:val="2"/>
        </w:numPr>
        <w:spacing w:after="80"/>
      </w:pPr>
      <w:r>
        <w:rPr>
          <w:rFonts w:ascii="Calibri" w:cs="Calibri" w:eastAsia="Calibri" w:hAnsi="Calibri"/>
          <w:color w:val="1A1A1A"/>
          <w:sz w:val="22"/>
          <w:szCs w:val="22"/>
        </w:rPr>
        <w:t xml:space="preserve">Set up CI/CD via GitHub Actions (auto-deploy on merge to main)</w:t>
      </w:r>
    </w:p>
    <w:p>
      <w:pPr>
        <w:pStyle w:val="ListParagraph"/>
        <w:numPr>
          <w:ilvl w:val="0"/>
          <w:numId w:val="2"/>
        </w:numPr>
        <w:spacing w:after="80"/>
      </w:pPr>
      <w:r>
        <w:rPr>
          <w:rFonts w:ascii="Calibri" w:cs="Calibri" w:eastAsia="Calibri" w:hAnsi="Calibri"/>
          <w:color w:val="1A1A1A"/>
          <w:sz w:val="22"/>
          <w:szCs w:val="22"/>
        </w:rPr>
        <w:t xml:space="preserve">Exit criterion: a user can log in, navigate to Items, perform full CRUD, and the data persists with proper RLS isolation</w:t>
      </w:r>
    </w:p>
    <w:p>
      <w:pPr>
        <w:spacing w:after="120"/>
      </w:pPr>
      <w:r>
        <w:rPr>
          <w:rFonts w:ascii="Calibri" w:cs="Calibri" w:eastAsia="Calibri" w:hAnsi="Calibri"/>
        </w:rPr>
        <w:t xml:space="preserve"/>
      </w:r>
    </w:p>
    <w:p>
      <w:pPr>
        <w:spacing w:after="100" w:before="120"/>
      </w:pPr>
      <w:r>
        <w:rPr>
          <w:rFonts w:ascii="Calibri" w:cs="Calibri" w:eastAsia="Calibri" w:hAnsi="Calibri"/>
          <w:b/>
          <w:bCs/>
          <w:color w:val="1F3A68"/>
          <w:sz w:val="24"/>
          <w:szCs w:val="24"/>
        </w:rPr>
        <w:t xml:space="preserve">Phase 2 — Master Data (Week 3)</w:t>
      </w:r>
    </w:p>
    <w:p>
      <w:pPr>
        <w:pStyle w:val="ListParagraph"/>
        <w:numPr>
          <w:ilvl w:val="0"/>
          <w:numId w:val="2"/>
        </w:numPr>
        <w:spacing w:after="80"/>
      </w:pPr>
      <w:r>
        <w:rPr>
          <w:rFonts w:ascii="Calibri" w:cs="Calibri" w:eastAsia="Calibri" w:hAnsi="Calibri"/>
          <w:color w:val="1A1A1A"/>
          <w:sz w:val="22"/>
          <w:szCs w:val="22"/>
        </w:rPr>
        <w:t xml:space="preserve">Build one-time Firestore export script (dumps all 67 collections to local JSON)</w:t>
      </w:r>
    </w:p>
    <w:p>
      <w:pPr>
        <w:pStyle w:val="ListParagraph"/>
        <w:numPr>
          <w:ilvl w:val="0"/>
          <w:numId w:val="2"/>
        </w:numPr>
        <w:spacing w:after="80"/>
      </w:pPr>
      <w:r>
        <w:rPr>
          <w:rFonts w:ascii="Calibri" w:cs="Calibri" w:eastAsia="Calibri" w:hAnsi="Calibri"/>
          <w:color w:val="1A1A1A"/>
          <w:sz w:val="22"/>
          <w:szCs w:val="22"/>
        </w:rPr>
        <w:t xml:space="preserve">Build transformation script (flattens JSON-blob structure to per-record rows, generates UUIDs, maps Firebase auth UIDs)</w:t>
      </w:r>
    </w:p>
    <w:p>
      <w:pPr>
        <w:pStyle w:val="ListParagraph"/>
        <w:numPr>
          <w:ilvl w:val="0"/>
          <w:numId w:val="2"/>
        </w:numPr>
        <w:spacing w:after="80"/>
      </w:pPr>
      <w:r>
        <w:rPr>
          <w:rFonts w:ascii="Calibri" w:cs="Calibri" w:eastAsia="Calibri" w:hAnsi="Calibri"/>
          <w:color w:val="1A1A1A"/>
          <w:sz w:val="22"/>
          <w:szCs w:val="22"/>
        </w:rPr>
        <w:t xml:space="preserve">Build bulk-load script (inserts to Postgres in foreign-key dependency order)</w:t>
      </w:r>
    </w:p>
    <w:p>
      <w:pPr>
        <w:pStyle w:val="ListParagraph"/>
        <w:numPr>
          <w:ilvl w:val="0"/>
          <w:numId w:val="2"/>
        </w:numPr>
        <w:spacing w:after="80"/>
      </w:pPr>
      <w:r>
        <w:rPr>
          <w:rFonts w:ascii="Calibri" w:cs="Calibri" w:eastAsia="Calibri" w:hAnsi="Calibri"/>
          <w:color w:val="1A1A1A"/>
          <w:sz w:val="22"/>
          <w:szCs w:val="22"/>
        </w:rPr>
        <w:t xml:space="preserve">Migrate users, clients, vendors, items, machines, operators</w:t>
      </w:r>
    </w:p>
    <w:p>
      <w:pPr>
        <w:pStyle w:val="ListParagraph"/>
        <w:numPr>
          <w:ilvl w:val="0"/>
          <w:numId w:val="2"/>
        </w:numPr>
        <w:spacing w:after="80"/>
      </w:pPr>
      <w:r>
        <w:rPr>
          <w:rFonts w:ascii="Calibri" w:cs="Calibri" w:eastAsia="Calibri" w:hAnsi="Calibri"/>
          <w:color w:val="1A1A1A"/>
          <w:sz w:val="22"/>
          <w:szCs w:val="22"/>
        </w:rPr>
        <w:t xml:space="preserve">Build admin screens for each master entity</w:t>
      </w:r>
    </w:p>
    <w:p>
      <w:pPr>
        <w:pStyle w:val="ListParagraph"/>
        <w:numPr>
          <w:ilvl w:val="0"/>
          <w:numId w:val="2"/>
        </w:numPr>
        <w:spacing w:after="80"/>
      </w:pPr>
      <w:r>
        <w:rPr>
          <w:rFonts w:ascii="Calibri" w:cs="Calibri" w:eastAsia="Calibri" w:hAnsi="Calibri"/>
          <w:color w:val="1A1A1A"/>
          <w:sz w:val="22"/>
          <w:szCs w:val="22"/>
        </w:rPr>
        <w:t xml:space="preserve">Validate: row counts match, sample records identical, no orphaned references</w:t>
      </w:r>
    </w:p>
    <w:p>
      <w:pPr>
        <w:pStyle w:val="ListParagraph"/>
        <w:numPr>
          <w:ilvl w:val="0"/>
          <w:numId w:val="2"/>
        </w:numPr>
        <w:spacing w:after="80"/>
      </w:pPr>
      <w:r>
        <w:rPr>
          <w:rFonts w:ascii="Calibri" w:cs="Calibri" w:eastAsia="Calibri" w:hAnsi="Calibri"/>
          <w:color w:val="1A1A1A"/>
          <w:sz w:val="22"/>
          <w:szCs w:val="22"/>
        </w:rPr>
        <w:t xml:space="preserve">Exit criterion: all master data is in Supabase and editable through the new UI; old HTML still serves transactions</w:t>
      </w:r>
    </w:p>
    <w:p>
      <w:pPr>
        <w:spacing w:after="120"/>
      </w:pPr>
      <w:r>
        <w:rPr>
          <w:rFonts w:ascii="Calibri" w:cs="Calibri" w:eastAsia="Calibri" w:hAnsi="Calibri"/>
        </w:rPr>
        <w:t xml:space="preserve"/>
      </w:r>
    </w:p>
    <w:p>
      <w:pPr>
        <w:spacing w:after="100" w:before="120"/>
      </w:pPr>
      <w:r>
        <w:rPr>
          <w:rFonts w:ascii="Calibri" w:cs="Calibri" w:eastAsia="Calibri" w:hAnsi="Calibri"/>
          <w:b/>
          <w:bCs/>
          <w:color w:val="1F3A68"/>
          <w:sz w:val="24"/>
          <w:szCs w:val="24"/>
        </w:rPr>
        <w:t xml:space="preserve">Phase 3 — Op Entry (Week 4–5) — Critical Phase</w:t>
      </w:r>
    </w:p>
    <w:p>
      <w:pPr>
        <w:pStyle w:val="ListParagraph"/>
        <w:numPr>
          <w:ilvl w:val="0"/>
          <w:numId w:val="2"/>
        </w:numPr>
        <w:spacing w:after="80"/>
      </w:pPr>
      <w:r>
        <w:rPr>
          <w:rFonts w:ascii="Calibri" w:cs="Calibri" w:eastAsia="Calibri" w:hAnsi="Calibri"/>
          <w:color w:val="1A1A1A"/>
          <w:sz w:val="22"/>
          <w:szCs w:val="22"/>
        </w:rPr>
        <w:t xml:space="preserve">Migrate jobCards, jcOps, opLog data</w:t>
      </w:r>
    </w:p>
    <w:p>
      <w:pPr>
        <w:pStyle w:val="ListParagraph"/>
        <w:numPr>
          <w:ilvl w:val="0"/>
          <w:numId w:val="2"/>
        </w:numPr>
        <w:spacing w:after="80"/>
      </w:pPr>
      <w:r>
        <w:rPr>
          <w:rFonts w:ascii="Calibri" w:cs="Calibri" w:eastAsia="Calibri" w:hAnsi="Calibri"/>
          <w:color w:val="1A1A1A"/>
          <w:sz w:val="22"/>
          <w:szCs w:val="22"/>
        </w:rPr>
        <w:t xml:space="preserve">Build Op Entry screen with TanStack Query optimistic updates and Realtime subscription</w:t>
      </w:r>
    </w:p>
    <w:p>
      <w:pPr>
        <w:pStyle w:val="ListParagraph"/>
        <w:numPr>
          <w:ilvl w:val="0"/>
          <w:numId w:val="2"/>
        </w:numPr>
        <w:spacing w:after="80"/>
      </w:pPr>
      <w:r>
        <w:rPr>
          <w:rFonts w:ascii="Calibri" w:cs="Calibri" w:eastAsia="Calibri" w:hAnsi="Calibri"/>
          <w:color w:val="1A1A1A"/>
          <w:sz w:val="22"/>
          <w:szCs w:val="22"/>
        </w:rPr>
        <w:t xml:space="preserve">Implement server-side validations: cannot exceed planned quantity, cannot skip required QC, etc.</w:t>
      </w:r>
    </w:p>
    <w:p>
      <w:pPr>
        <w:pStyle w:val="ListParagraph"/>
        <w:numPr>
          <w:ilvl w:val="0"/>
          <w:numId w:val="2"/>
        </w:numPr>
        <w:spacing w:after="80"/>
      </w:pPr>
      <w:r>
        <w:rPr>
          <w:rFonts w:ascii="Calibri" w:cs="Calibri" w:eastAsia="Calibri" w:hAnsi="Calibri"/>
          <w:color w:val="1A1A1A"/>
          <w:sz w:val="22"/>
          <w:szCs w:val="22"/>
        </w:rPr>
        <w:t xml:space="preserve">Run parallel mode for one full week: operators enter data in BOTH systems, end-of-day reconciliation</w:t>
      </w:r>
    </w:p>
    <w:p>
      <w:pPr>
        <w:pStyle w:val="ListParagraph"/>
        <w:numPr>
          <w:ilvl w:val="0"/>
          <w:numId w:val="2"/>
        </w:numPr>
        <w:spacing w:after="80"/>
      </w:pPr>
      <w:r>
        <w:rPr>
          <w:rFonts w:ascii="Calibri" w:cs="Calibri" w:eastAsia="Calibri" w:hAnsi="Calibri"/>
          <w:color w:val="1A1A1A"/>
          <w:sz w:val="22"/>
          <w:szCs w:val="22"/>
        </w:rPr>
        <w:t xml:space="preserve">After validation passes for 5 consecutive working days, switch operators to new system only</w:t>
      </w:r>
    </w:p>
    <w:p>
      <w:pPr>
        <w:pStyle w:val="ListParagraph"/>
        <w:numPr>
          <w:ilvl w:val="0"/>
          <w:numId w:val="2"/>
        </w:numPr>
        <w:spacing w:after="80"/>
      </w:pPr>
      <w:r>
        <w:rPr>
          <w:rFonts w:ascii="Calibri" w:cs="Calibri" w:eastAsia="Calibri" w:hAnsi="Calibri"/>
          <w:color w:val="1A1A1A"/>
          <w:sz w:val="22"/>
          <w:szCs w:val="22"/>
        </w:rPr>
        <w:t xml:space="preserve">Exit criterion: operators are exclusively on the new system for Op Entry</w:t>
      </w:r>
    </w:p>
    <w:p>
      <w:pPr>
        <w:spacing w:after="120"/>
      </w:pPr>
      <w:r>
        <w:rPr>
          <w:rFonts w:ascii="Calibri" w:cs="Calibri" w:eastAsia="Calibri" w:hAnsi="Calibri"/>
        </w:rPr>
        <w:t xml:space="preserve"/>
      </w:r>
    </w:p>
    <w:p>
      <w:pPr>
        <w:spacing w:after="100" w:before="120"/>
      </w:pPr>
      <w:r>
        <w:rPr>
          <w:rFonts w:ascii="Calibri" w:cs="Calibri" w:eastAsia="Calibri" w:hAnsi="Calibri"/>
          <w:b/>
          <w:bCs/>
          <w:color w:val="1F3A68"/>
          <w:sz w:val="24"/>
          <w:szCs w:val="24"/>
        </w:rPr>
        <w:t xml:space="preserve">Phase 4 — Sales Chain (Week 6–7)</w:t>
      </w:r>
    </w:p>
    <w:p>
      <w:pPr>
        <w:pStyle w:val="ListParagraph"/>
        <w:numPr>
          <w:ilvl w:val="0"/>
          <w:numId w:val="2"/>
        </w:numPr>
        <w:spacing w:after="80"/>
      </w:pPr>
      <w:r>
        <w:rPr>
          <w:rFonts w:ascii="Calibri" w:cs="Calibri" w:eastAsia="Calibri" w:hAnsi="Calibri"/>
          <w:color w:val="1A1A1A"/>
          <w:sz w:val="22"/>
          <w:szCs w:val="22"/>
        </w:rPr>
        <w:t xml:space="preserve">Migrate sales_orders, sales_order_lines, job_work_orders</w:t>
      </w:r>
    </w:p>
    <w:p>
      <w:pPr>
        <w:pStyle w:val="ListParagraph"/>
        <w:numPr>
          <w:ilvl w:val="0"/>
          <w:numId w:val="2"/>
        </w:numPr>
        <w:spacing w:after="80"/>
      </w:pPr>
      <w:r>
        <w:rPr>
          <w:rFonts w:ascii="Calibri" w:cs="Calibri" w:eastAsia="Calibri" w:hAnsi="Calibri"/>
          <w:color w:val="1A1A1A"/>
          <w:sz w:val="22"/>
          <w:szCs w:val="22"/>
        </w:rPr>
        <w:t xml:space="preserve">Build SO list, detail, create/edit screens</w:t>
      </w:r>
    </w:p>
    <w:p>
      <w:pPr>
        <w:pStyle w:val="ListParagraph"/>
        <w:numPr>
          <w:ilvl w:val="0"/>
          <w:numId w:val="2"/>
        </w:numPr>
        <w:spacing w:after="80"/>
      </w:pPr>
      <w:r>
        <w:rPr>
          <w:rFonts w:ascii="Calibri" w:cs="Calibri" w:eastAsia="Calibri" w:hAnsi="Calibri"/>
          <w:color w:val="1A1A1A"/>
          <w:sz w:val="22"/>
          <w:szCs w:val="22"/>
        </w:rPr>
        <w:t xml:space="preserve">Build JW list, detail screens</w:t>
      </w:r>
    </w:p>
    <w:p>
      <w:pPr>
        <w:pStyle w:val="ListParagraph"/>
        <w:numPr>
          <w:ilvl w:val="0"/>
          <w:numId w:val="2"/>
        </w:numPr>
        <w:spacing w:after="80"/>
      </w:pPr>
      <w:r>
        <w:rPr>
          <w:rFonts w:ascii="Calibri" w:cs="Calibri" w:eastAsia="Calibri" w:hAnsi="Calibri"/>
          <w:color w:val="1A1A1A"/>
          <w:sz w:val="22"/>
          <w:szCs w:val="22"/>
        </w:rPr>
        <w:t xml:space="preserve">Build JC list with filtering by status, machine, operator</w:t>
      </w:r>
    </w:p>
    <w:p>
      <w:pPr>
        <w:pStyle w:val="ListParagraph"/>
        <w:numPr>
          <w:ilvl w:val="0"/>
          <w:numId w:val="2"/>
        </w:numPr>
        <w:spacing w:after="80"/>
      </w:pPr>
      <w:r>
        <w:rPr>
          <w:rFonts w:ascii="Calibri" w:cs="Calibri" w:eastAsia="Calibri" w:hAnsi="Calibri"/>
          <w:color w:val="1A1A1A"/>
          <w:sz w:val="22"/>
          <w:szCs w:val="22"/>
        </w:rPr>
        <w:t xml:space="preserve">Implement cascade logic server-side: SO status auto-updates from JC completion (fixes existing bug)</w:t>
      </w:r>
    </w:p>
    <w:p>
      <w:pPr>
        <w:pStyle w:val="ListParagraph"/>
        <w:numPr>
          <w:ilvl w:val="0"/>
          <w:numId w:val="2"/>
        </w:numPr>
        <w:spacing w:after="80"/>
      </w:pPr>
      <w:r>
        <w:rPr>
          <w:rFonts w:ascii="Calibri" w:cs="Calibri" w:eastAsia="Calibri" w:hAnsi="Calibri"/>
          <w:color w:val="1A1A1A"/>
          <w:sz w:val="22"/>
          <w:szCs w:val="22"/>
        </w:rPr>
        <w:t xml:space="preserve">Cutover sales team module-by-module</w:t>
      </w:r>
    </w:p>
    <w:p>
      <w:pPr>
        <w:spacing w:after="120"/>
      </w:pPr>
      <w:r>
        <w:rPr>
          <w:rFonts w:ascii="Calibri" w:cs="Calibri" w:eastAsia="Calibri" w:hAnsi="Calibri"/>
        </w:rPr>
        <w:t xml:space="preserve"/>
      </w:r>
    </w:p>
    <w:p>
      <w:pPr>
        <w:spacing w:after="100" w:before="120"/>
      </w:pPr>
      <w:r>
        <w:rPr>
          <w:rFonts w:ascii="Calibri" w:cs="Calibri" w:eastAsia="Calibri" w:hAnsi="Calibri"/>
          <w:b/>
          <w:bCs/>
          <w:color w:val="1F3A68"/>
          <w:sz w:val="24"/>
          <w:szCs w:val="24"/>
        </w:rPr>
        <w:t xml:space="preserve">Phase 5 — Procurement (Week 8)</w:t>
      </w:r>
    </w:p>
    <w:p>
      <w:pPr>
        <w:pStyle w:val="ListParagraph"/>
        <w:numPr>
          <w:ilvl w:val="0"/>
          <w:numId w:val="2"/>
        </w:numPr>
        <w:spacing w:after="80"/>
      </w:pPr>
      <w:r>
        <w:rPr>
          <w:rFonts w:ascii="Calibri" w:cs="Calibri" w:eastAsia="Calibri" w:hAnsi="Calibri"/>
          <w:color w:val="1A1A1A"/>
          <w:sz w:val="22"/>
          <w:szCs w:val="22"/>
        </w:rPr>
        <w:t xml:space="preserve">Migrate purchase_orders, po_lines, grn, grn_lines, store_transactions</w:t>
      </w:r>
    </w:p>
    <w:p>
      <w:pPr>
        <w:pStyle w:val="ListParagraph"/>
        <w:numPr>
          <w:ilvl w:val="0"/>
          <w:numId w:val="2"/>
        </w:numPr>
        <w:spacing w:after="80"/>
      </w:pPr>
      <w:r>
        <w:rPr>
          <w:rFonts w:ascii="Calibri" w:cs="Calibri" w:eastAsia="Calibri" w:hAnsi="Calibri"/>
          <w:color w:val="1A1A1A"/>
          <w:sz w:val="22"/>
          <w:szCs w:val="22"/>
        </w:rPr>
        <w:t xml:space="preserve">Build PO/GRN screens with vendor cascade and line-item matching</w:t>
      </w:r>
    </w:p>
    <w:p>
      <w:pPr>
        <w:pStyle w:val="ListParagraph"/>
        <w:numPr>
          <w:ilvl w:val="0"/>
          <w:numId w:val="2"/>
        </w:numPr>
        <w:spacing w:after="80"/>
      </w:pPr>
      <w:r>
        <w:rPr>
          <w:rFonts w:ascii="Calibri" w:cs="Calibri" w:eastAsia="Calibri" w:hAnsi="Calibri"/>
          <w:color w:val="1A1A1A"/>
          <w:sz w:val="22"/>
          <w:szCs w:val="22"/>
        </w:rPr>
        <w:t xml:space="preserve">Cutover procurement team</w:t>
      </w:r>
    </w:p>
    <w:p>
      <w:pPr>
        <w:spacing w:after="120"/>
      </w:pPr>
      <w:r>
        <w:rPr>
          <w:rFonts w:ascii="Calibri" w:cs="Calibri" w:eastAsia="Calibri" w:hAnsi="Calibri"/>
        </w:rPr>
        <w:t xml:space="preserve"/>
      </w:r>
    </w:p>
    <w:p>
      <w:pPr>
        <w:spacing w:after="100" w:before="120"/>
      </w:pPr>
      <w:r>
        <w:rPr>
          <w:rFonts w:ascii="Calibri" w:cs="Calibri" w:eastAsia="Calibri" w:hAnsi="Calibri"/>
          <w:b/>
          <w:bCs/>
          <w:color w:val="1F3A68"/>
          <w:sz w:val="24"/>
          <w:szCs w:val="24"/>
        </w:rPr>
        <w:t xml:space="preserve">Phase 6 — Quality + Dispatch (Week 9)</w:t>
      </w:r>
    </w:p>
    <w:p>
      <w:pPr>
        <w:pStyle w:val="ListParagraph"/>
        <w:numPr>
          <w:ilvl w:val="0"/>
          <w:numId w:val="2"/>
        </w:numPr>
        <w:spacing w:after="80"/>
      </w:pPr>
      <w:r>
        <w:rPr>
          <w:rFonts w:ascii="Calibri" w:cs="Calibri" w:eastAsia="Calibri" w:hAnsi="Calibri"/>
          <w:color w:val="1A1A1A"/>
          <w:sz w:val="22"/>
          <w:szCs w:val="22"/>
        </w:rPr>
        <w:t xml:space="preserve">Migrate qc_inspections (consolidated from qcProcesses/qcAssignments/qcDocUploads)</w:t>
      </w:r>
    </w:p>
    <w:p>
      <w:pPr>
        <w:pStyle w:val="ListParagraph"/>
        <w:numPr>
          <w:ilvl w:val="0"/>
          <w:numId w:val="2"/>
        </w:numPr>
        <w:spacing w:after="80"/>
      </w:pPr>
      <w:r>
        <w:rPr>
          <w:rFonts w:ascii="Calibri" w:cs="Calibri" w:eastAsia="Calibri" w:hAnsi="Calibri"/>
          <w:color w:val="1A1A1A"/>
          <w:sz w:val="22"/>
          <w:szCs w:val="22"/>
        </w:rPr>
        <w:t xml:space="preserve">Migrate nc_register, dispatch_log, delivery_challans</w:t>
      </w:r>
    </w:p>
    <w:p>
      <w:pPr>
        <w:pStyle w:val="ListParagraph"/>
        <w:numPr>
          <w:ilvl w:val="0"/>
          <w:numId w:val="2"/>
        </w:numPr>
        <w:spacing w:after="80"/>
      </w:pPr>
      <w:r>
        <w:rPr>
          <w:rFonts w:ascii="Calibri" w:cs="Calibri" w:eastAsia="Calibri" w:hAnsi="Calibri"/>
          <w:color w:val="1A1A1A"/>
          <w:sz w:val="22"/>
          <w:szCs w:val="22"/>
        </w:rPr>
        <w:t xml:space="preserve">Build QC inspection workflow with file uploads to Supabase Storage</w:t>
      </w:r>
    </w:p>
    <w:p>
      <w:pPr>
        <w:pStyle w:val="ListParagraph"/>
        <w:numPr>
          <w:ilvl w:val="0"/>
          <w:numId w:val="2"/>
        </w:numPr>
        <w:spacing w:after="80"/>
      </w:pPr>
      <w:r>
        <w:rPr>
          <w:rFonts w:ascii="Calibri" w:cs="Calibri" w:eastAsia="Calibri" w:hAnsi="Calibri"/>
          <w:color w:val="1A1A1A"/>
          <w:sz w:val="22"/>
          <w:szCs w:val="22"/>
        </w:rPr>
        <w:t xml:space="preserve">Cutover QC and dispatch teams</w:t>
      </w:r>
    </w:p>
    <w:p>
      <w:pPr>
        <w:spacing w:after="120"/>
      </w:pPr>
      <w:r>
        <w:rPr>
          <w:rFonts w:ascii="Calibri" w:cs="Calibri" w:eastAsia="Calibri" w:hAnsi="Calibri"/>
        </w:rPr>
        <w:t xml:space="preserve"/>
      </w:r>
    </w:p>
    <w:p>
      <w:pPr>
        <w:spacing w:after="100" w:before="120"/>
      </w:pPr>
      <w:r>
        <w:rPr>
          <w:rFonts w:ascii="Calibri" w:cs="Calibri" w:eastAsia="Calibri" w:hAnsi="Calibri"/>
          <w:b/>
          <w:bCs/>
          <w:color w:val="1F3A68"/>
          <w:sz w:val="24"/>
          <w:szCs w:val="24"/>
        </w:rPr>
        <w:t xml:space="preserve">Phase 7 — Reports &amp; Dashboards (Week 10)</w:t>
      </w:r>
    </w:p>
    <w:p>
      <w:pPr>
        <w:pStyle w:val="ListParagraph"/>
        <w:numPr>
          <w:ilvl w:val="0"/>
          <w:numId w:val="2"/>
        </w:numPr>
        <w:spacing w:after="80"/>
      </w:pPr>
      <w:r>
        <w:rPr>
          <w:rFonts w:ascii="Calibri" w:cs="Calibri" w:eastAsia="Calibri" w:hAnsi="Calibri"/>
          <w:color w:val="1A1A1A"/>
          <w:sz w:val="22"/>
          <w:szCs w:val="22"/>
        </w:rPr>
        <w:t xml:space="preserve">Convert in-memory aggregations to SQL views and materialized views</w:t>
      </w:r>
    </w:p>
    <w:p>
      <w:pPr>
        <w:pStyle w:val="ListParagraph"/>
        <w:numPr>
          <w:ilvl w:val="0"/>
          <w:numId w:val="2"/>
        </w:numPr>
        <w:spacing w:after="80"/>
      </w:pPr>
      <w:r>
        <w:rPr>
          <w:rFonts w:ascii="Calibri" w:cs="Calibri" w:eastAsia="Calibri" w:hAnsi="Calibri"/>
          <w:color w:val="1A1A1A"/>
          <w:sz w:val="22"/>
          <w:szCs w:val="22"/>
        </w:rPr>
        <w:t xml:space="preserve">Build dashboard with role-based KPI cards</w:t>
      </w:r>
    </w:p>
    <w:p>
      <w:pPr>
        <w:pStyle w:val="ListParagraph"/>
        <w:numPr>
          <w:ilvl w:val="0"/>
          <w:numId w:val="2"/>
        </w:numPr>
        <w:spacing w:after="80"/>
      </w:pPr>
      <w:r>
        <w:rPr>
          <w:rFonts w:ascii="Calibri" w:cs="Calibri" w:eastAsia="Calibri" w:hAnsi="Calibri"/>
          <w:color w:val="1A1A1A"/>
          <w:sz w:val="22"/>
          <w:szCs w:val="22"/>
        </w:rPr>
        <w:t xml:space="preserve">Build the 5–10 most-used reports</w:t>
      </w:r>
    </w:p>
    <w:p>
      <w:pPr>
        <w:pStyle w:val="ListParagraph"/>
        <w:numPr>
          <w:ilvl w:val="0"/>
          <w:numId w:val="2"/>
        </w:numPr>
        <w:spacing w:after="80"/>
      </w:pPr>
      <w:r>
        <w:rPr>
          <w:rFonts w:ascii="Calibri" w:cs="Calibri" w:eastAsia="Calibri" w:hAnsi="Calibri"/>
          <w:color w:val="1A1A1A"/>
          <w:sz w:val="22"/>
          <w:szCs w:val="22"/>
        </w:rPr>
        <w:t xml:space="preserve">Add Excel export endpoint via exceljs</w:t>
      </w:r>
    </w:p>
    <w:p>
      <w:pPr>
        <w:spacing w:after="120"/>
      </w:pPr>
      <w:r>
        <w:rPr>
          <w:rFonts w:ascii="Calibri" w:cs="Calibri" w:eastAsia="Calibri" w:hAnsi="Calibri"/>
        </w:rPr>
        <w:t xml:space="preserve"/>
      </w:r>
    </w:p>
    <w:p>
      <w:pPr>
        <w:spacing w:after="100" w:before="120"/>
      </w:pPr>
      <w:r>
        <w:rPr>
          <w:rFonts w:ascii="Calibri" w:cs="Calibri" w:eastAsia="Calibri" w:hAnsi="Calibri"/>
          <w:b/>
          <w:bCs/>
          <w:color w:val="1F3A68"/>
          <w:sz w:val="24"/>
          <w:szCs w:val="24"/>
        </w:rPr>
        <w:t xml:space="preserve">Phase 8 — Peripheral Modules (Week 11)</w:t>
      </w:r>
    </w:p>
    <w:p>
      <w:pPr>
        <w:pStyle w:val="ListParagraph"/>
        <w:numPr>
          <w:ilvl w:val="0"/>
          <w:numId w:val="2"/>
        </w:numPr>
        <w:spacing w:after="80"/>
      </w:pPr>
      <w:r>
        <w:rPr>
          <w:rFonts w:ascii="Calibri" w:cs="Calibri" w:eastAsia="Calibri" w:hAnsi="Calibri"/>
          <w:color w:val="1A1A1A"/>
          <w:sz w:val="22"/>
          <w:szCs w:val="22"/>
        </w:rPr>
        <w:t xml:space="preserve">Design tracker (consolidated from 7 collections to 4 tables)</w:t>
      </w:r>
    </w:p>
    <w:p>
      <w:pPr>
        <w:pStyle w:val="ListParagraph"/>
        <w:numPr>
          <w:ilvl w:val="0"/>
          <w:numId w:val="2"/>
        </w:numPr>
        <w:spacing w:after="80"/>
      </w:pPr>
      <w:r>
        <w:rPr>
          <w:rFonts w:ascii="Calibri" w:cs="Calibri" w:eastAsia="Calibri" w:hAnsi="Calibri"/>
          <w:color w:val="1A1A1A"/>
          <w:sz w:val="22"/>
          <w:szCs w:val="22"/>
        </w:rPr>
        <w:t xml:space="preserve">CRM: leads, communications, reminders</w:t>
      </w:r>
    </w:p>
    <w:p>
      <w:pPr>
        <w:pStyle w:val="ListParagraph"/>
        <w:numPr>
          <w:ilvl w:val="0"/>
          <w:numId w:val="2"/>
        </w:numPr>
        <w:spacing w:after="80"/>
      </w:pPr>
      <w:r>
        <w:rPr>
          <w:rFonts w:ascii="Calibri" w:cs="Calibri" w:eastAsia="Calibri" w:hAnsi="Calibri"/>
          <w:color w:val="1A1A1A"/>
          <w:sz w:val="22"/>
          <w:szCs w:val="22"/>
        </w:rPr>
        <w:t xml:space="preserve">Tool issues, store issues, party materials</w:t>
      </w:r>
    </w:p>
    <w:p>
      <w:pPr>
        <w:pStyle w:val="ListParagraph"/>
        <w:numPr>
          <w:ilvl w:val="0"/>
          <w:numId w:val="2"/>
        </w:numPr>
        <w:spacing w:after="80"/>
      </w:pPr>
      <w:r>
        <w:rPr>
          <w:rFonts w:ascii="Calibri" w:cs="Calibri" w:eastAsia="Calibri" w:hAnsi="Calibri"/>
          <w:color w:val="1A1A1A"/>
          <w:sz w:val="22"/>
          <w:szCs w:val="22"/>
        </w:rPr>
        <w:t xml:space="preserve">CAPA records, print template editor</w:t>
      </w:r>
    </w:p>
    <w:p>
      <w:pPr>
        <w:pStyle w:val="ListParagraph"/>
        <w:numPr>
          <w:ilvl w:val="0"/>
          <w:numId w:val="2"/>
        </w:numPr>
        <w:spacing w:after="80"/>
      </w:pPr>
      <w:r>
        <w:rPr>
          <w:rFonts w:ascii="Calibri" w:cs="Calibri" w:eastAsia="Calibri" w:hAnsi="Calibri"/>
          <w:color w:val="1A1A1A"/>
          <w:sz w:val="22"/>
          <w:szCs w:val="22"/>
        </w:rPr>
        <w:t xml:space="preserve">Activity log viewer + admin trash recovery</w:t>
      </w:r>
    </w:p>
    <w:p>
      <w:pPr>
        <w:spacing w:after="120"/>
      </w:pPr>
      <w:r>
        <w:rPr>
          <w:rFonts w:ascii="Calibri" w:cs="Calibri" w:eastAsia="Calibri" w:hAnsi="Calibri"/>
        </w:rPr>
        <w:t xml:space="preserve"/>
      </w:r>
    </w:p>
    <w:p>
      <w:pPr>
        <w:spacing w:after="100" w:before="120"/>
      </w:pPr>
      <w:r>
        <w:rPr>
          <w:rFonts w:ascii="Calibri" w:cs="Calibri" w:eastAsia="Calibri" w:hAnsi="Calibri"/>
          <w:b/>
          <w:bCs/>
          <w:color w:val="1F3A68"/>
          <w:sz w:val="24"/>
          <w:szCs w:val="24"/>
        </w:rPr>
        <w:t xml:space="preserve">Phase 9 — Final Cutover (Week 12)</w:t>
      </w:r>
    </w:p>
    <w:p>
      <w:pPr>
        <w:pStyle w:val="ListParagraph"/>
        <w:numPr>
          <w:ilvl w:val="0"/>
          <w:numId w:val="2"/>
        </w:numPr>
        <w:spacing w:after="80"/>
      </w:pPr>
      <w:r>
        <w:rPr>
          <w:rFonts w:ascii="Calibri" w:cs="Calibri" w:eastAsia="Calibri" w:hAnsi="Calibri"/>
          <w:color w:val="1A1A1A"/>
          <w:sz w:val="22"/>
          <w:szCs w:val="22"/>
        </w:rPr>
        <w:t xml:space="preserve">Final delta migration from Firebase (capture last week's data)</w:t>
      </w:r>
    </w:p>
    <w:p>
      <w:pPr>
        <w:pStyle w:val="ListParagraph"/>
        <w:numPr>
          <w:ilvl w:val="0"/>
          <w:numId w:val="2"/>
        </w:numPr>
        <w:spacing w:after="80"/>
      </w:pPr>
      <w:r>
        <w:rPr>
          <w:rFonts w:ascii="Calibri" w:cs="Calibri" w:eastAsia="Calibri" w:hAnsi="Calibri"/>
          <w:color w:val="1A1A1A"/>
          <w:sz w:val="22"/>
          <w:szCs w:val="22"/>
        </w:rPr>
        <w:t xml:space="preserve">HTML system goes read-only, then archived offline</w:t>
      </w:r>
    </w:p>
    <w:p>
      <w:pPr>
        <w:pStyle w:val="ListParagraph"/>
        <w:numPr>
          <w:ilvl w:val="0"/>
          <w:numId w:val="2"/>
        </w:numPr>
        <w:spacing w:after="80"/>
      </w:pPr>
      <w:r>
        <w:rPr>
          <w:rFonts w:ascii="Calibri" w:cs="Calibri" w:eastAsia="Calibri" w:hAnsi="Calibri"/>
          <w:color w:val="1A1A1A"/>
          <w:sz w:val="22"/>
          <w:szCs w:val="22"/>
        </w:rPr>
        <w:t xml:space="preserve">Set up monitoring: Better Stack uptime, Supabase metrics, Sentry error tracking</w:t>
      </w:r>
    </w:p>
    <w:p>
      <w:pPr>
        <w:pStyle w:val="ListParagraph"/>
        <w:numPr>
          <w:ilvl w:val="0"/>
          <w:numId w:val="2"/>
        </w:numPr>
        <w:spacing w:after="80"/>
      </w:pPr>
      <w:r>
        <w:rPr>
          <w:rFonts w:ascii="Calibri" w:cs="Calibri" w:eastAsia="Calibri" w:hAnsi="Calibri"/>
          <w:color w:val="1A1A1A"/>
          <w:sz w:val="22"/>
          <w:szCs w:val="22"/>
        </w:rPr>
        <w:t xml:space="preserve">Verify backups: restore a pg_dump to a test instance, confirm app boots against it</w:t>
      </w:r>
    </w:p>
    <w:p>
      <w:pPr>
        <w:pStyle w:val="ListParagraph"/>
        <w:numPr>
          <w:ilvl w:val="0"/>
          <w:numId w:val="2"/>
        </w:numPr>
        <w:spacing w:after="80"/>
      </w:pPr>
      <w:r>
        <w:rPr>
          <w:rFonts w:ascii="Calibri" w:cs="Calibri" w:eastAsia="Calibri" w:hAnsi="Calibri"/>
          <w:color w:val="1A1A1A"/>
          <w:sz w:val="22"/>
          <w:szCs w:val="22"/>
        </w:rPr>
        <w:t xml:space="preserve">Document runbook for common operational issues</w:t>
      </w:r>
    </w:p>
    <w:p>
      <w:pPr>
        <w:pStyle w:val="ListParagraph"/>
        <w:numPr>
          <w:ilvl w:val="0"/>
          <w:numId w:val="2"/>
        </w:numPr>
        <w:spacing w:after="80"/>
      </w:pPr>
      <w:r>
        <w:rPr>
          <w:rFonts w:ascii="Calibri" w:cs="Calibri" w:eastAsia="Calibri" w:hAnsi="Calibri"/>
          <w:color w:val="1A1A1A"/>
          <w:sz w:val="22"/>
          <w:szCs w:val="22"/>
        </w:rPr>
        <w:t xml:space="preserve">Train all users on the new system</w:t>
      </w:r>
    </w:p>
    <w:p>
      <w:r>
        <w:br w:type="page"/>
      </w:r>
    </w:p>
    <w:p>
      <w:pPr>
        <w:pStyle w:val="Heading1"/>
        <w:spacing w:after="200" w:before="360"/>
      </w:pPr>
      <w:r>
        <w:rPr>
          <w:rFonts w:ascii="Calibri" w:cs="Calibri" w:eastAsia="Calibri" w:hAnsi="Calibri"/>
          <w:b/>
          <w:bCs/>
          <w:color w:val="1F3A68"/>
          <w:sz w:val="36"/>
          <w:szCs w:val="36"/>
        </w:rPr>
        <w:t xml:space="preserve">7. Cost Breakdown</w:t>
      </w:r>
    </w:p>
    <w:p>
      <w:pPr>
        <w:pStyle w:val="Heading3"/>
        <w:spacing w:after="100" w:before="200"/>
      </w:pPr>
      <w:r>
        <w:rPr>
          <w:rFonts w:ascii="Calibri" w:cs="Calibri" w:eastAsia="Calibri" w:hAnsi="Calibri"/>
          <w:b/>
          <w:bCs/>
          <w:color w:val="1A1A1A"/>
          <w:sz w:val="24"/>
          <w:szCs w:val="24"/>
        </w:rPr>
        <w:t xml:space="preserve">Recurring monthly cost (15–20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c>
          <w:tcPr>
            <w:tcW w:type="dxa" w:w="3120"/>
            <w:tcBorders>
              <w:top w:val="single" w:color="CCCCCC" w:sz="4"/>
              <w:left w:val="single" w:color="CCCCCC" w:sz="4"/>
              <w:bottom w:val="single" w:color="CCCCCC" w:sz="4"/>
              <w:right w:val="single" w:color="CCCCCC" w:sz="4"/>
            </w:tcBorders>
            <w:shd w:fill="1F3A68"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Item</w:t>
            </w:r>
          </w:p>
        </w:tc>
        <w:tc>
          <w:tcPr>
            <w:tcW w:type="dxa" w:w="1560"/>
            <w:tcBorders>
              <w:top w:val="single" w:color="CCCCCC" w:sz="4"/>
              <w:left w:val="single" w:color="CCCCCC" w:sz="4"/>
              <w:bottom w:val="single" w:color="CCCCCC" w:sz="4"/>
              <w:right w:val="single" w:color="CCCCCC" w:sz="4"/>
            </w:tcBorders>
            <w:shd w:fill="1F3A68"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USD</w:t>
            </w:r>
          </w:p>
        </w:tc>
        <w:tc>
          <w:tcPr>
            <w:tcW w:type="dxa" w:w="1560"/>
            <w:tcBorders>
              <w:top w:val="single" w:color="CCCCCC" w:sz="4"/>
              <w:left w:val="single" w:color="CCCCCC" w:sz="4"/>
              <w:bottom w:val="single" w:color="CCCCCC" w:sz="4"/>
              <w:right w:val="single" w:color="CCCCCC" w:sz="4"/>
            </w:tcBorders>
            <w:shd w:fill="1F3A68"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INR (≈)</w:t>
            </w:r>
          </w:p>
        </w:tc>
        <w:tc>
          <w:tcPr>
            <w:tcW w:type="dxa" w:w="3120"/>
            <w:tcBorders>
              <w:top w:val="single" w:color="CCCCCC" w:sz="4"/>
              <w:left w:val="single" w:color="CCCCCC" w:sz="4"/>
              <w:bottom w:val="single" w:color="CCCCCC" w:sz="4"/>
              <w:right w:val="single" w:color="CCCCCC" w:sz="4"/>
            </w:tcBorders>
            <w:shd w:fill="1F3A68"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Notes</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Supabase Pro</w:t>
            </w:r>
          </w:p>
        </w:tc>
        <w:tc>
          <w:tcPr>
            <w:tcW w:type="dxa" w:w="15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$25</w:t>
            </w:r>
          </w:p>
        </w:tc>
        <w:tc>
          <w:tcPr>
            <w:tcW w:type="dxa" w:w="15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₹2,100</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Postgres + Auth + Storage + Realtime + Backups</w:t>
            </w:r>
          </w:p>
        </w:tc>
      </w:tr>
      <w:tr>
        <w:tc>
          <w:tcPr>
            <w:tcW w:type="dxa" w:w="312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Fastify API hosting (Railway)</w:t>
            </w:r>
          </w:p>
        </w:tc>
        <w:tc>
          <w:tcPr>
            <w:tcW w:type="dxa" w:w="156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$7</w:t>
            </w:r>
          </w:p>
        </w:tc>
        <w:tc>
          <w:tcPr>
            <w:tcW w:type="dxa" w:w="156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₹590</w:t>
            </w:r>
          </w:p>
        </w:tc>
        <w:tc>
          <w:tcPr>
            <w:tcW w:type="dxa" w:w="312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Or Hetzner CCX13 self-managed (~₹450)</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Cloudflare Pages (frontend)</w:t>
            </w:r>
          </w:p>
        </w:tc>
        <w:tc>
          <w:tcPr>
            <w:tcW w:type="dxa" w:w="15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$0</w:t>
            </w:r>
          </w:p>
        </w:tc>
        <w:tc>
          <w:tcPr>
            <w:tcW w:type="dxa" w:w="15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₹0</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Free tier — unlimited bandwidth</w:t>
            </w:r>
          </w:p>
        </w:tc>
      </w:tr>
      <w:tr>
        <w:tc>
          <w:tcPr>
            <w:tcW w:type="dxa" w:w="312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Cloudflare DNS + WAF</w:t>
            </w:r>
          </w:p>
        </w:tc>
        <w:tc>
          <w:tcPr>
            <w:tcW w:type="dxa" w:w="156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$0</w:t>
            </w:r>
          </w:p>
        </w:tc>
        <w:tc>
          <w:tcPr>
            <w:tcW w:type="dxa" w:w="156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₹0</w:t>
            </w:r>
          </w:p>
        </w:tc>
        <w:tc>
          <w:tcPr>
            <w:tcW w:type="dxa" w:w="312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Free tier</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Resend (transactional email)</w:t>
            </w:r>
          </w:p>
        </w:tc>
        <w:tc>
          <w:tcPr>
            <w:tcW w:type="dxa" w:w="15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$0</w:t>
            </w:r>
          </w:p>
        </w:tc>
        <w:tc>
          <w:tcPr>
            <w:tcW w:type="dxa" w:w="15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₹0</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Free up to 3,000 emails/month</w:t>
            </w:r>
          </w:p>
        </w:tc>
      </w:tr>
      <w:tr>
        <w:tc>
          <w:tcPr>
            <w:tcW w:type="dxa" w:w="312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Backblaze B2 (offsite backup)</w:t>
            </w:r>
          </w:p>
        </w:tc>
        <w:tc>
          <w:tcPr>
            <w:tcW w:type="dxa" w:w="156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$1</w:t>
            </w:r>
          </w:p>
        </w:tc>
        <w:tc>
          <w:tcPr>
            <w:tcW w:type="dxa" w:w="156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₹85</w:t>
            </w:r>
          </w:p>
        </w:tc>
        <w:tc>
          <w:tcPr>
            <w:tcW w:type="dxa" w:w="312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50 GB at $0.005/GB</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Sentry (error tracking)</w:t>
            </w:r>
          </w:p>
        </w:tc>
        <w:tc>
          <w:tcPr>
            <w:tcW w:type="dxa" w:w="15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$0</w:t>
            </w:r>
          </w:p>
        </w:tc>
        <w:tc>
          <w:tcPr>
            <w:tcW w:type="dxa" w:w="15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₹0</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Free tier — sufficient for small teams</w:t>
            </w:r>
          </w:p>
        </w:tc>
      </w:tr>
      <w:tr>
        <w:tc>
          <w:tcPr>
            <w:tcW w:type="dxa" w:w="312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Better Stack (uptime + logs)</w:t>
            </w:r>
          </w:p>
        </w:tc>
        <w:tc>
          <w:tcPr>
            <w:tcW w:type="dxa" w:w="156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$0</w:t>
            </w:r>
          </w:p>
        </w:tc>
        <w:tc>
          <w:tcPr>
            <w:tcW w:type="dxa" w:w="156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₹0</w:t>
            </w:r>
          </w:p>
        </w:tc>
        <w:tc>
          <w:tcPr>
            <w:tcW w:type="dxa" w:w="312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Free tier</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Domain (amortized)</w:t>
            </w:r>
          </w:p>
        </w:tc>
        <w:tc>
          <w:tcPr>
            <w:tcW w:type="dxa" w:w="15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$1</w:t>
            </w:r>
          </w:p>
        </w:tc>
        <w:tc>
          <w:tcPr>
            <w:tcW w:type="dxa" w:w="15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₹100</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Annual cost spread monthly</w:t>
            </w:r>
          </w:p>
        </w:tc>
      </w:tr>
      <w:tr>
        <w:tc>
          <w:tcPr>
            <w:tcW w:type="dxa" w:w="3120"/>
            <w:tcBorders>
              <w:top w:val="single" w:color="CCCCCC" w:sz="4"/>
              <w:left w:val="single" w:color="CCCCCC" w:sz="4"/>
              <w:bottom w:val="single" w:color="CCCCCC" w:sz="4"/>
              <w:right w:val="single" w:color="CCCCCC" w:sz="4"/>
            </w:tcBorders>
            <w:shd w:fill="C8AB37"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TOTAL</w:t>
            </w:r>
          </w:p>
        </w:tc>
        <w:tc>
          <w:tcPr>
            <w:tcW w:type="dxa" w:w="1560"/>
            <w:tcBorders>
              <w:top w:val="single" w:color="CCCCCC" w:sz="4"/>
              <w:left w:val="single" w:color="CCCCCC" w:sz="4"/>
              <w:bottom w:val="single" w:color="CCCCCC" w:sz="4"/>
              <w:right w:val="single" w:color="CCCCCC" w:sz="4"/>
            </w:tcBorders>
            <w:shd w:fill="C8AB37"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~$33</w:t>
            </w:r>
          </w:p>
        </w:tc>
        <w:tc>
          <w:tcPr>
            <w:tcW w:type="dxa" w:w="1560"/>
            <w:tcBorders>
              <w:top w:val="single" w:color="CCCCCC" w:sz="4"/>
              <w:left w:val="single" w:color="CCCCCC" w:sz="4"/>
              <w:bottom w:val="single" w:color="CCCCCC" w:sz="4"/>
              <w:right w:val="single" w:color="CCCCCC" w:sz="4"/>
            </w:tcBorders>
            <w:shd w:fill="C8AB37"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~₹2,800</w:t>
            </w:r>
          </w:p>
        </w:tc>
        <w:tc>
          <w:tcPr>
            <w:tcW w:type="dxa" w:w="3120"/>
            <w:tcBorders>
              <w:top w:val="single" w:color="CCCCCC" w:sz="4"/>
              <w:left w:val="single" w:color="CCCCCC" w:sz="4"/>
              <w:bottom w:val="single" w:color="CCCCCC" w:sz="4"/>
              <w:right w:val="single" w:color="CCCCCC" w:sz="4"/>
            </w:tcBorders>
            <w:shd w:fill="C8AB37"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Per month, all-in</w:t>
            </w:r>
          </w:p>
        </w:tc>
      </w:tr>
    </w:tbl>
    <w:p>
      <w:pPr>
        <w:spacing w:after="160"/>
      </w:pPr>
      <w:r>
        <w:rPr>
          <w:rFonts w:ascii="Calibri" w:cs="Calibri" w:eastAsia="Calibri" w:hAnsi="Calibri"/>
        </w:rPr>
        <w:t xml:space="preserve"/>
      </w:r>
    </w:p>
    <w:p>
      <w:pPr>
        <w:pStyle w:val="Heading3"/>
        <w:spacing w:after="100" w:before="200"/>
      </w:pPr>
      <w:r>
        <w:rPr>
          <w:rFonts w:ascii="Calibri" w:cs="Calibri" w:eastAsia="Calibri" w:hAnsi="Calibri"/>
          <w:b/>
          <w:bCs/>
          <w:color w:val="1A1A1A"/>
          <w:sz w:val="24"/>
          <w:szCs w:val="24"/>
        </w:rPr>
        <w:t xml:space="preserve">Scaling cost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4"/>
              <w:left w:val="single" w:color="CCCCCC" w:sz="4"/>
              <w:bottom w:val="single" w:color="CCCCCC" w:sz="4"/>
              <w:right w:val="single" w:color="CCCCCC" w:sz="4"/>
            </w:tcBorders>
            <w:shd w:fill="1F3A68"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User Count</w:t>
            </w:r>
          </w:p>
        </w:tc>
        <w:tc>
          <w:tcPr>
            <w:tcW w:type="dxa" w:w="2080"/>
            <w:tcBorders>
              <w:top w:val="single" w:color="CCCCCC" w:sz="4"/>
              <w:left w:val="single" w:color="CCCCCC" w:sz="4"/>
              <w:bottom w:val="single" w:color="CCCCCC" w:sz="4"/>
              <w:right w:val="single" w:color="CCCCCC" w:sz="4"/>
            </w:tcBorders>
            <w:shd w:fill="1F3A68"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Monthly USD</w:t>
            </w:r>
          </w:p>
        </w:tc>
        <w:tc>
          <w:tcPr>
            <w:tcW w:type="dxa" w:w="2080"/>
            <w:tcBorders>
              <w:top w:val="single" w:color="CCCCCC" w:sz="4"/>
              <w:left w:val="single" w:color="CCCCCC" w:sz="4"/>
              <w:bottom w:val="single" w:color="CCCCCC" w:sz="4"/>
              <w:right w:val="single" w:color="CCCCCC" w:sz="4"/>
            </w:tcBorders>
            <w:shd w:fill="1F3A68"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Monthly INR</w:t>
            </w:r>
          </w:p>
        </w:tc>
        <w:tc>
          <w:tcPr>
            <w:tcW w:type="dxa" w:w="2080"/>
            <w:tcBorders>
              <w:top w:val="single" w:color="CCCCCC" w:sz="4"/>
              <w:left w:val="single" w:color="CCCCCC" w:sz="4"/>
              <w:bottom w:val="single" w:color="CCCCCC" w:sz="4"/>
              <w:right w:val="single" w:color="CCCCCC" w:sz="4"/>
            </w:tcBorders>
            <w:shd w:fill="1F3A68"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Per-user / month</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15–20 users (today)</w:t>
            </w:r>
          </w:p>
        </w:tc>
        <w:tc>
          <w:tcPr>
            <w:tcW w:type="dxa" w:w="2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$33</w:t>
            </w:r>
          </w:p>
        </w:tc>
        <w:tc>
          <w:tcPr>
            <w:tcW w:type="dxa" w:w="2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₹2,800</w:t>
            </w:r>
          </w:p>
        </w:tc>
        <w:tc>
          <w:tcPr>
            <w:tcW w:type="dxa" w:w="2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~₹150</w:t>
            </w:r>
          </w:p>
        </w:tc>
      </w:tr>
      <w:tr>
        <w:tc>
          <w:tcPr>
            <w:tcW w:type="dxa" w:w="312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50 users</w:t>
            </w:r>
          </w:p>
        </w:tc>
        <w:tc>
          <w:tcPr>
            <w:tcW w:type="dxa" w:w="208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$38</w:t>
            </w:r>
          </w:p>
        </w:tc>
        <w:tc>
          <w:tcPr>
            <w:tcW w:type="dxa" w:w="208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₹3,200</w:t>
            </w:r>
          </w:p>
        </w:tc>
        <w:tc>
          <w:tcPr>
            <w:tcW w:type="dxa" w:w="208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~₹64</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100 users (target ceiling)</w:t>
            </w:r>
          </w:p>
        </w:tc>
        <w:tc>
          <w:tcPr>
            <w:tcW w:type="dxa" w:w="2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$45</w:t>
            </w:r>
          </w:p>
        </w:tc>
        <w:tc>
          <w:tcPr>
            <w:tcW w:type="dxa" w:w="2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₹3,800</w:t>
            </w:r>
          </w:p>
        </w:tc>
        <w:tc>
          <w:tcPr>
            <w:tcW w:type="dxa" w:w="2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~₹38</w:t>
            </w:r>
          </w:p>
        </w:tc>
      </w:tr>
    </w:tbl>
    <w:p>
      <w:pPr>
        <w:spacing w:after="120"/>
      </w:pPr>
      <w:r>
        <w:rPr>
          <w:rFonts w:ascii="Calibri" w:cs="Calibri" w:eastAsia="Calibri" w:hAnsi="Calibri"/>
        </w:rPr>
        <w:t xml:space="preserve"/>
      </w:r>
    </w:p>
    <w:p>
      <w:pPr>
        <w:spacing w:after="120" w:before="0"/>
        <w:jc w:val="left"/>
      </w:pPr>
      <w:r>
        <w:rPr>
          <w:rFonts w:ascii="Calibri" w:cs="Calibri" w:eastAsia="Calibri" w:hAnsi="Calibri"/>
          <w:b w:val="false"/>
          <w:bCs w:val="false"/>
          <w:i/>
          <w:iCs/>
          <w:color w:val="555555"/>
          <w:sz w:val="22"/>
          <w:szCs w:val="22"/>
        </w:rPr>
        <w:t xml:space="preserve">Note: between 50 and 100 users a Supabase compute upgrade adds approximately $10–15/month. No other components require changes within this user range.</w:t>
      </w:r>
    </w:p>
    <w:p>
      <w:r>
        <w:br w:type="page"/>
      </w:r>
    </w:p>
    <w:p>
      <w:pPr>
        <w:pStyle w:val="Heading1"/>
        <w:spacing w:after="200" w:before="360"/>
      </w:pPr>
      <w:r>
        <w:rPr>
          <w:rFonts w:ascii="Calibri" w:cs="Calibri" w:eastAsia="Calibri" w:hAnsi="Calibri"/>
          <w:b/>
          <w:bCs/>
          <w:color w:val="1F3A68"/>
          <w:sz w:val="36"/>
          <w:szCs w:val="36"/>
        </w:rPr>
        <w:t xml:space="preserve">8. Operating Rules (Non-Negotiable)</w:t>
      </w:r>
    </w:p>
    <w:p>
      <w:pPr>
        <w:spacing w:after="200" w:before="0"/>
        <w:jc w:val="left"/>
      </w:pPr>
      <w:r>
        <w:rPr>
          <w:rFonts w:ascii="Calibri" w:cs="Calibri" w:eastAsia="Calibri" w:hAnsi="Calibri"/>
          <w:b w:val="false"/>
          <w:bCs w:val="false"/>
          <w:i w:val="false"/>
          <w:iCs w:val="false"/>
          <w:color w:val="1A1A1A"/>
          <w:sz w:val="22"/>
          <w:szCs w:val="22"/>
        </w:rPr>
        <w:t xml:space="preserve">These ten rules are written into the project from day one and enforced in code review. Violating any one of them is how production systems rot over time. They are deliberately strict.</w:t>
      </w:r>
    </w:p>
    <w:p>
      <w:pPr>
        <w:spacing w:after="80"/>
      </w:pPr>
      <w:r>
        <w:rPr>
          <w:rFonts w:ascii="Calibri" w:cs="Calibri" w:eastAsia="Calibri" w:hAnsi="Calibri"/>
        </w:rPr>
        <w:t xml:space="preserve"/>
      </w:r>
    </w:p>
    <w:p>
      <w:pPr>
        <w:spacing w:after="120" w:before="0"/>
        <w:jc w:val="left"/>
      </w:pPr>
      <w:r>
        <w:rPr>
          <w:rFonts w:ascii="Calibri" w:cs="Calibri" w:eastAsia="Calibri" w:hAnsi="Calibri"/>
          <w:b/>
          <w:bCs/>
          <w:i w:val="false"/>
          <w:iCs w:val="false"/>
          <w:color w:val="C8AB37"/>
          <w:sz w:val="24"/>
          <w:szCs w:val="24"/>
        </w:rPr>
        <w:t xml:space="preserve">1. </w:t>
      </w:r>
      <w:r>
        <w:rPr>
          <w:rFonts w:ascii="Calibri" w:cs="Calibri" w:eastAsia="Calibri" w:hAnsi="Calibri"/>
          <w:b/>
          <w:bCs/>
          <w:i w:val="false"/>
          <w:iCs w:val="false"/>
          <w:color w:val="1A1A1A"/>
          <w:sz w:val="24"/>
          <w:szCs w:val="24"/>
        </w:rPr>
        <w:t xml:space="preserve">No business logic in the frontend.</w:t>
      </w:r>
    </w:p>
    <w:p>
      <w:pPr>
        <w:spacing w:after="60" w:before="0"/>
        <w:jc w:val="left"/>
      </w:pPr>
      <w:r>
        <w:rPr>
          <w:rFonts w:ascii="Calibri" w:cs="Calibri" w:eastAsia="Calibri" w:hAnsi="Calibri"/>
          <w:b w:val="false"/>
          <w:bCs w:val="false"/>
          <w:i w:val="false"/>
          <w:iCs w:val="false"/>
          <w:color w:val="1A1A1A"/>
          <w:sz w:val="22"/>
          <w:szCs w:val="22"/>
        </w:rPr>
        <w:t xml:space="preserve">The React app shows data and submits intents. Validation, calculations, and authorization all live server-side. The browser is hostile and inspectable; nothing in it can be trusted.</w:t>
      </w:r>
    </w:p>
    <w:p>
      <w:pPr>
        <w:spacing w:after="80"/>
      </w:pPr>
      <w:r>
        <w:rPr>
          <w:rFonts w:ascii="Calibri" w:cs="Calibri" w:eastAsia="Calibri" w:hAnsi="Calibri"/>
        </w:rPr>
        <w:t xml:space="preserve"/>
      </w:r>
    </w:p>
    <w:p>
      <w:pPr>
        <w:spacing w:after="120" w:before="0"/>
        <w:jc w:val="left"/>
      </w:pPr>
      <w:r>
        <w:rPr>
          <w:rFonts w:ascii="Calibri" w:cs="Calibri" w:eastAsia="Calibri" w:hAnsi="Calibri"/>
          <w:b/>
          <w:bCs/>
          <w:i w:val="false"/>
          <w:iCs w:val="false"/>
          <w:color w:val="C8AB37"/>
          <w:sz w:val="24"/>
          <w:szCs w:val="24"/>
        </w:rPr>
        <w:t xml:space="preserve">2. </w:t>
      </w:r>
      <w:r>
        <w:rPr>
          <w:rFonts w:ascii="Calibri" w:cs="Calibri" w:eastAsia="Calibri" w:hAnsi="Calibri"/>
          <w:b/>
          <w:bCs/>
          <w:i w:val="false"/>
          <w:iCs w:val="false"/>
          <w:color w:val="1A1A1A"/>
          <w:sz w:val="24"/>
          <w:szCs w:val="24"/>
        </w:rPr>
        <w:t xml:space="preserve">Every write goes through a service layer.</w:t>
      </w:r>
    </w:p>
    <w:p>
      <w:pPr>
        <w:spacing w:after="60" w:before="0"/>
        <w:jc w:val="left"/>
      </w:pPr>
      <w:r>
        <w:rPr>
          <w:rFonts w:ascii="Calibri" w:cs="Calibri" w:eastAsia="Calibri" w:hAnsi="Calibri"/>
          <w:b w:val="false"/>
          <w:bCs w:val="false"/>
          <w:i w:val="false"/>
          <w:iCs w:val="false"/>
          <w:color w:val="1A1A1A"/>
          <w:sz w:val="22"/>
          <w:szCs w:val="22"/>
        </w:rPr>
        <w:t xml:space="preserve">Routes never call the ORM directly. Service functions encapsulate business logic and are independently testable. Without this discipline, logic spreads across hundreds of route handlers and becomes unmaintainable.</w:t>
      </w:r>
    </w:p>
    <w:p>
      <w:pPr>
        <w:spacing w:after="80"/>
      </w:pPr>
      <w:r>
        <w:rPr>
          <w:rFonts w:ascii="Calibri" w:cs="Calibri" w:eastAsia="Calibri" w:hAnsi="Calibri"/>
        </w:rPr>
        <w:t xml:space="preserve"/>
      </w:r>
    </w:p>
    <w:p>
      <w:pPr>
        <w:spacing w:after="120" w:before="0"/>
        <w:jc w:val="left"/>
      </w:pPr>
      <w:r>
        <w:rPr>
          <w:rFonts w:ascii="Calibri" w:cs="Calibri" w:eastAsia="Calibri" w:hAnsi="Calibri"/>
          <w:b/>
          <w:bCs/>
          <w:i w:val="false"/>
          <w:iCs w:val="false"/>
          <w:color w:val="C8AB37"/>
          <w:sz w:val="24"/>
          <w:szCs w:val="24"/>
        </w:rPr>
        <w:t xml:space="preserve">3. </w:t>
      </w:r>
      <w:r>
        <w:rPr>
          <w:rFonts w:ascii="Calibri" w:cs="Calibri" w:eastAsia="Calibri" w:hAnsi="Calibri"/>
          <w:b/>
          <w:bCs/>
          <w:i w:val="false"/>
          <w:iCs w:val="false"/>
          <w:color w:val="1A1A1A"/>
          <w:sz w:val="24"/>
          <w:szCs w:val="24"/>
        </w:rPr>
        <w:t xml:space="preserve">Every table has company_id, soft delete, audit columns, and an RLS policy.</w:t>
      </w:r>
    </w:p>
    <w:p>
      <w:pPr>
        <w:spacing w:after="60" w:before="0"/>
        <w:jc w:val="left"/>
      </w:pPr>
      <w:r>
        <w:rPr>
          <w:rFonts w:ascii="Calibri" w:cs="Calibri" w:eastAsia="Calibri" w:hAnsi="Calibri"/>
          <w:b w:val="false"/>
          <w:bCs w:val="false"/>
          <w:i w:val="false"/>
          <w:iCs w:val="false"/>
          <w:color w:val="1A1A1A"/>
          <w:sz w:val="22"/>
          <w:szCs w:val="22"/>
        </w:rPr>
        <w:t xml:space="preserve">No exceptions. Multi-tenancy from day one is free future-proofing; soft delete makes data recoverable; audit columns answer 'who changed this and when' without forensics.</w:t>
      </w:r>
    </w:p>
    <w:p>
      <w:pPr>
        <w:spacing w:after="80"/>
      </w:pPr>
      <w:r>
        <w:rPr>
          <w:rFonts w:ascii="Calibri" w:cs="Calibri" w:eastAsia="Calibri" w:hAnsi="Calibri"/>
        </w:rPr>
        <w:t xml:space="preserve"/>
      </w:r>
    </w:p>
    <w:p>
      <w:pPr>
        <w:spacing w:after="120" w:before="0"/>
        <w:jc w:val="left"/>
      </w:pPr>
      <w:r>
        <w:rPr>
          <w:rFonts w:ascii="Calibri" w:cs="Calibri" w:eastAsia="Calibri" w:hAnsi="Calibri"/>
          <w:b/>
          <w:bCs/>
          <w:i w:val="false"/>
          <w:iCs w:val="false"/>
          <w:color w:val="C8AB37"/>
          <w:sz w:val="24"/>
          <w:szCs w:val="24"/>
        </w:rPr>
        <w:t xml:space="preserve">4. </w:t>
      </w:r>
      <w:r>
        <w:rPr>
          <w:rFonts w:ascii="Calibri" w:cs="Calibri" w:eastAsia="Calibri" w:hAnsi="Calibri"/>
          <w:b/>
          <w:bCs/>
          <w:i w:val="false"/>
          <w:iCs w:val="false"/>
          <w:color w:val="1A1A1A"/>
          <w:sz w:val="24"/>
          <w:szCs w:val="24"/>
        </w:rPr>
        <w:t xml:space="preserve">Daily automated pg_dump to a second provider, with monthly restore drills.</w:t>
      </w:r>
    </w:p>
    <w:p>
      <w:pPr>
        <w:spacing w:after="60" w:before="0"/>
        <w:jc w:val="left"/>
      </w:pPr>
      <w:r>
        <w:rPr>
          <w:rFonts w:ascii="Calibri" w:cs="Calibri" w:eastAsia="Calibri" w:hAnsi="Calibri"/>
          <w:b w:val="false"/>
          <w:bCs w:val="false"/>
          <w:i w:val="false"/>
          <w:iCs w:val="false"/>
          <w:color w:val="1A1A1A"/>
          <w:sz w:val="22"/>
          <w:szCs w:val="22"/>
        </w:rPr>
        <w:t xml:space="preserve">Backblaze B2 holds the offsite copy. Untested backups are not backups — restore is verified the first Monday of every month.</w:t>
      </w:r>
    </w:p>
    <w:p>
      <w:pPr>
        <w:spacing w:after="80"/>
      </w:pPr>
      <w:r>
        <w:rPr>
          <w:rFonts w:ascii="Calibri" w:cs="Calibri" w:eastAsia="Calibri" w:hAnsi="Calibri"/>
        </w:rPr>
        <w:t xml:space="preserve"/>
      </w:r>
    </w:p>
    <w:p>
      <w:pPr>
        <w:spacing w:after="120" w:before="0"/>
        <w:jc w:val="left"/>
      </w:pPr>
      <w:r>
        <w:rPr>
          <w:rFonts w:ascii="Calibri" w:cs="Calibri" w:eastAsia="Calibri" w:hAnsi="Calibri"/>
          <w:b/>
          <w:bCs/>
          <w:i w:val="false"/>
          <w:iCs w:val="false"/>
          <w:color w:val="C8AB37"/>
          <w:sz w:val="24"/>
          <w:szCs w:val="24"/>
        </w:rPr>
        <w:t xml:space="preserve">5. </w:t>
      </w:r>
      <w:r>
        <w:rPr>
          <w:rFonts w:ascii="Calibri" w:cs="Calibri" w:eastAsia="Calibri" w:hAnsi="Calibri"/>
          <w:b/>
          <w:bCs/>
          <w:i w:val="false"/>
          <w:iCs w:val="false"/>
          <w:color w:val="1A1A1A"/>
          <w:sz w:val="24"/>
          <w:szCs w:val="24"/>
        </w:rPr>
        <w:t xml:space="preserve">All times stored as timestamptz in UTC, displayed in IST.</w:t>
      </w:r>
    </w:p>
    <w:p>
      <w:pPr>
        <w:spacing w:after="60" w:before="0"/>
        <w:jc w:val="left"/>
      </w:pPr>
      <w:r>
        <w:rPr>
          <w:rFonts w:ascii="Calibri" w:cs="Calibri" w:eastAsia="Calibri" w:hAnsi="Calibri"/>
          <w:b w:val="false"/>
          <w:bCs w:val="false"/>
          <w:i w:val="false"/>
          <w:iCs w:val="false"/>
          <w:color w:val="1A1A1A"/>
          <w:sz w:val="22"/>
          <w:szCs w:val="22"/>
        </w:rPr>
        <w:t xml:space="preserve">The single most common ERP bug ('the report says yesterday but it's still today') is prevented by convention and never revisited.</w:t>
      </w:r>
    </w:p>
    <w:p>
      <w:pPr>
        <w:spacing w:after="80"/>
      </w:pPr>
      <w:r>
        <w:rPr>
          <w:rFonts w:ascii="Calibri" w:cs="Calibri" w:eastAsia="Calibri" w:hAnsi="Calibri"/>
        </w:rPr>
        <w:t xml:space="preserve"/>
      </w:r>
    </w:p>
    <w:p>
      <w:pPr>
        <w:spacing w:after="120" w:before="0"/>
        <w:jc w:val="left"/>
      </w:pPr>
      <w:r>
        <w:rPr>
          <w:rFonts w:ascii="Calibri" w:cs="Calibri" w:eastAsia="Calibri" w:hAnsi="Calibri"/>
          <w:b/>
          <w:bCs/>
          <w:i w:val="false"/>
          <w:iCs w:val="false"/>
          <w:color w:val="C8AB37"/>
          <w:sz w:val="24"/>
          <w:szCs w:val="24"/>
        </w:rPr>
        <w:t xml:space="preserve">6. </w:t>
      </w:r>
      <w:r>
        <w:rPr>
          <w:rFonts w:ascii="Calibri" w:cs="Calibri" w:eastAsia="Calibri" w:hAnsi="Calibri"/>
          <w:b/>
          <w:bCs/>
          <w:i w:val="false"/>
          <w:iCs w:val="false"/>
          <w:color w:val="1A1A1A"/>
          <w:sz w:val="24"/>
          <w:szCs w:val="24"/>
        </w:rPr>
        <w:t xml:space="preserve">No SELECT * in production code. No N+1 queries.</w:t>
      </w:r>
    </w:p>
    <w:p>
      <w:pPr>
        <w:spacing w:after="60" w:before="0"/>
        <w:jc w:val="left"/>
      </w:pPr>
      <w:r>
        <w:rPr>
          <w:rFonts w:ascii="Calibri" w:cs="Calibri" w:eastAsia="Calibri" w:hAnsi="Calibri"/>
          <w:b w:val="false"/>
          <w:bCs w:val="false"/>
          <w:i w:val="false"/>
          <w:iCs w:val="false"/>
          <w:color w:val="1A1A1A"/>
          <w:sz w:val="22"/>
          <w:szCs w:val="22"/>
        </w:rPr>
        <w:t xml:space="preserve">Drizzle makes both visible. Both are rejected in code review. They look harmless until the table has 100,000 rows.</w:t>
      </w:r>
    </w:p>
    <w:p>
      <w:pPr>
        <w:spacing w:after="80"/>
      </w:pPr>
      <w:r>
        <w:rPr>
          <w:rFonts w:ascii="Calibri" w:cs="Calibri" w:eastAsia="Calibri" w:hAnsi="Calibri"/>
        </w:rPr>
        <w:t xml:space="preserve"/>
      </w:r>
    </w:p>
    <w:p>
      <w:pPr>
        <w:spacing w:after="120" w:before="0"/>
        <w:jc w:val="left"/>
      </w:pPr>
      <w:r>
        <w:rPr>
          <w:rFonts w:ascii="Calibri" w:cs="Calibri" w:eastAsia="Calibri" w:hAnsi="Calibri"/>
          <w:b/>
          <w:bCs/>
          <w:i w:val="false"/>
          <w:iCs w:val="false"/>
          <w:color w:val="C8AB37"/>
          <w:sz w:val="24"/>
          <w:szCs w:val="24"/>
        </w:rPr>
        <w:t xml:space="preserve">7. </w:t>
      </w:r>
      <w:r>
        <w:rPr>
          <w:rFonts w:ascii="Calibri" w:cs="Calibri" w:eastAsia="Calibri" w:hAnsi="Calibri"/>
          <w:b/>
          <w:bCs/>
          <w:i w:val="false"/>
          <w:iCs w:val="false"/>
          <w:color w:val="1A1A1A"/>
          <w:sz w:val="24"/>
          <w:szCs w:val="24"/>
        </w:rPr>
        <w:t xml:space="preserve">Structured JSON logs from day one.</w:t>
      </w:r>
    </w:p>
    <w:p>
      <w:pPr>
        <w:spacing w:after="60" w:before="0"/>
        <w:jc w:val="left"/>
      </w:pPr>
      <w:r>
        <w:rPr>
          <w:rFonts w:ascii="Calibri" w:cs="Calibri" w:eastAsia="Calibri" w:hAnsi="Calibri"/>
          <w:b w:val="false"/>
          <w:bCs w:val="false"/>
          <w:i w:val="false"/>
          <w:iCs w:val="false"/>
          <w:color w:val="1A1A1A"/>
          <w:sz w:val="22"/>
          <w:szCs w:val="22"/>
        </w:rPr>
        <w:t xml:space="preserve">When the system breaks at 11pm with 80 users active, the team needs grep-able structured logs, not console.log spam.</w:t>
      </w:r>
    </w:p>
    <w:p>
      <w:pPr>
        <w:spacing w:after="80"/>
      </w:pPr>
      <w:r>
        <w:rPr>
          <w:rFonts w:ascii="Calibri" w:cs="Calibri" w:eastAsia="Calibri" w:hAnsi="Calibri"/>
        </w:rPr>
        <w:t xml:space="preserve"/>
      </w:r>
    </w:p>
    <w:p>
      <w:pPr>
        <w:spacing w:after="120" w:before="0"/>
        <w:jc w:val="left"/>
      </w:pPr>
      <w:r>
        <w:rPr>
          <w:rFonts w:ascii="Calibri" w:cs="Calibri" w:eastAsia="Calibri" w:hAnsi="Calibri"/>
          <w:b/>
          <w:bCs/>
          <w:i w:val="false"/>
          <w:iCs w:val="false"/>
          <w:color w:val="C8AB37"/>
          <w:sz w:val="24"/>
          <w:szCs w:val="24"/>
        </w:rPr>
        <w:t xml:space="preserve">8. </w:t>
      </w:r>
      <w:r>
        <w:rPr>
          <w:rFonts w:ascii="Calibri" w:cs="Calibri" w:eastAsia="Calibri" w:hAnsi="Calibri"/>
          <w:b/>
          <w:bCs/>
          <w:i w:val="false"/>
          <w:iCs w:val="false"/>
          <w:color w:val="1A1A1A"/>
          <w:sz w:val="24"/>
          <w:szCs w:val="24"/>
        </w:rPr>
        <w:t xml:space="preserve">No hard deletes — only soft deletes.</w:t>
      </w:r>
    </w:p>
    <w:p>
      <w:pPr>
        <w:spacing w:after="60" w:before="0"/>
        <w:jc w:val="left"/>
      </w:pPr>
      <w:r>
        <w:rPr>
          <w:rFonts w:ascii="Calibri" w:cs="Calibri" w:eastAsia="Calibri" w:hAnsi="Calibri"/>
          <w:b w:val="false"/>
          <w:bCs w:val="false"/>
          <w:i w:val="false"/>
          <w:iCs w:val="false"/>
          <w:color w:val="1A1A1A"/>
          <w:sz w:val="22"/>
          <w:szCs w:val="22"/>
        </w:rPr>
        <w:t xml:space="preserve">deleted_at is set; the row is excluded from queries by default. Hard deletes happen only via an admin maintenance script after a backup is taken.</w:t>
      </w:r>
    </w:p>
    <w:p>
      <w:pPr>
        <w:spacing w:after="80"/>
      </w:pPr>
      <w:r>
        <w:rPr>
          <w:rFonts w:ascii="Calibri" w:cs="Calibri" w:eastAsia="Calibri" w:hAnsi="Calibri"/>
        </w:rPr>
        <w:t xml:space="preserve"/>
      </w:r>
    </w:p>
    <w:p>
      <w:pPr>
        <w:spacing w:after="120" w:before="0"/>
        <w:jc w:val="left"/>
      </w:pPr>
      <w:r>
        <w:rPr>
          <w:rFonts w:ascii="Calibri" w:cs="Calibri" w:eastAsia="Calibri" w:hAnsi="Calibri"/>
          <w:b/>
          <w:bCs/>
          <w:i w:val="false"/>
          <w:iCs w:val="false"/>
          <w:color w:val="C8AB37"/>
          <w:sz w:val="24"/>
          <w:szCs w:val="24"/>
        </w:rPr>
        <w:t xml:space="preserve">9. </w:t>
      </w:r>
      <w:r>
        <w:rPr>
          <w:rFonts w:ascii="Calibri" w:cs="Calibri" w:eastAsia="Calibri" w:hAnsi="Calibri"/>
          <w:b/>
          <w:bCs/>
          <w:i w:val="false"/>
          <w:iCs w:val="false"/>
          <w:color w:val="1A1A1A"/>
          <w:sz w:val="24"/>
          <w:szCs w:val="24"/>
        </w:rPr>
        <w:t xml:space="preserve">Schema changes via Drizzle migrations only.</w:t>
      </w:r>
    </w:p>
    <w:p>
      <w:pPr>
        <w:spacing w:after="60" w:before="0"/>
        <w:jc w:val="left"/>
      </w:pPr>
      <w:r>
        <w:rPr>
          <w:rFonts w:ascii="Calibri" w:cs="Calibri" w:eastAsia="Calibri" w:hAnsi="Calibri"/>
          <w:b w:val="false"/>
          <w:bCs w:val="false"/>
          <w:i w:val="false"/>
          <w:iCs w:val="false"/>
          <w:color w:val="1A1A1A"/>
          <w:sz w:val="22"/>
          <w:szCs w:val="22"/>
        </w:rPr>
        <w:t xml:space="preserve">No manual SQL in the Supabase Studio for production data. All migrations are version-controlled and reviewed before deployment.</w:t>
      </w:r>
    </w:p>
    <w:p>
      <w:pPr>
        <w:spacing w:after="80"/>
      </w:pPr>
      <w:r>
        <w:rPr>
          <w:rFonts w:ascii="Calibri" w:cs="Calibri" w:eastAsia="Calibri" w:hAnsi="Calibri"/>
        </w:rPr>
        <w:t xml:space="preserve"/>
      </w:r>
    </w:p>
    <w:p>
      <w:pPr>
        <w:spacing w:after="120" w:before="0"/>
        <w:jc w:val="left"/>
      </w:pPr>
      <w:r>
        <w:rPr>
          <w:rFonts w:ascii="Calibri" w:cs="Calibri" w:eastAsia="Calibri" w:hAnsi="Calibri"/>
          <w:b/>
          <w:bCs/>
          <w:i w:val="false"/>
          <w:iCs w:val="false"/>
          <w:color w:val="C8AB37"/>
          <w:sz w:val="24"/>
          <w:szCs w:val="24"/>
        </w:rPr>
        <w:t xml:space="preserve">10. </w:t>
      </w:r>
      <w:r>
        <w:rPr>
          <w:rFonts w:ascii="Calibri" w:cs="Calibri" w:eastAsia="Calibri" w:hAnsi="Calibri"/>
          <w:b/>
          <w:bCs/>
          <w:i w:val="false"/>
          <w:iCs w:val="false"/>
          <w:color w:val="1A1A1A"/>
          <w:sz w:val="24"/>
          <w:szCs w:val="24"/>
        </w:rPr>
        <w:t xml:space="preserve">Secrets in environment variables, never in code.</w:t>
      </w:r>
    </w:p>
    <w:p>
      <w:pPr>
        <w:spacing w:after="60" w:before="0"/>
        <w:jc w:val="left"/>
      </w:pPr>
      <w:r>
        <w:rPr>
          <w:rFonts w:ascii="Calibri" w:cs="Calibri" w:eastAsia="Calibri" w:hAnsi="Calibri"/>
          <w:b w:val="false"/>
          <w:bCs w:val="false"/>
          <w:i w:val="false"/>
          <w:iCs w:val="false"/>
          <w:color w:val="1A1A1A"/>
          <w:sz w:val="22"/>
          <w:szCs w:val="22"/>
        </w:rPr>
        <w:t xml:space="preserve">Supabase service keys, JWT secrets, third-party API keys live in Railway/Hetzner env vars or Doppler. The repository is treated as if it were public.</w:t>
      </w:r>
    </w:p>
    <w:p>
      <w:r>
        <w:br w:type="page"/>
      </w:r>
    </w:p>
    <w:p>
      <w:pPr>
        <w:pStyle w:val="Heading1"/>
        <w:spacing w:after="200" w:before="360"/>
      </w:pPr>
      <w:r>
        <w:rPr>
          <w:rFonts w:ascii="Calibri" w:cs="Calibri" w:eastAsia="Calibri" w:hAnsi="Calibri"/>
          <w:b/>
          <w:bCs/>
          <w:color w:val="1F3A68"/>
          <w:sz w:val="36"/>
          <w:szCs w:val="36"/>
        </w:rPr>
        <w:t xml:space="preserve">9. Risks &amp; Mitigation</w:t>
      </w:r>
    </w:p>
    <w:p>
      <w:pPr>
        <w:spacing w:after="200" w:before="0"/>
        <w:jc w:val="left"/>
      </w:pPr>
      <w:r>
        <w:rPr>
          <w:rFonts w:ascii="Calibri" w:cs="Calibri" w:eastAsia="Calibri" w:hAnsi="Calibri"/>
          <w:b w:val="false"/>
          <w:bCs w:val="false"/>
          <w:i w:val="false"/>
          <w:iCs w:val="false"/>
          <w:color w:val="1A1A1A"/>
          <w:sz w:val="22"/>
          <w:szCs w:val="22"/>
        </w:rPr>
        <w:t xml:space="preserve">Honest assessment of where this architecture and migration plan can break, and the mitigation built in for each. Risks are listed in descending order of likelihood at your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80"/>
        <w:gridCol w:w="3080"/>
      </w:tblGrid>
      <w:tr>
        <w:tc>
          <w:tcPr>
            <w:tcW w:type="dxa" w:w="2200"/>
            <w:tcBorders>
              <w:top w:val="single" w:color="CCCCCC" w:sz="4"/>
              <w:left w:val="single" w:color="CCCCCC" w:sz="4"/>
              <w:bottom w:val="single" w:color="CCCCCC" w:sz="4"/>
              <w:right w:val="single" w:color="CCCCCC" w:sz="4"/>
            </w:tcBorders>
            <w:shd w:fill="1F3A68"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Risk</w:t>
            </w:r>
          </w:p>
        </w:tc>
        <w:tc>
          <w:tcPr>
            <w:tcW w:type="dxa" w:w="1200"/>
            <w:tcBorders>
              <w:top w:val="single" w:color="CCCCCC" w:sz="4"/>
              <w:left w:val="single" w:color="CCCCCC" w:sz="4"/>
              <w:bottom w:val="single" w:color="CCCCCC" w:sz="4"/>
              <w:right w:val="single" w:color="CCCCCC" w:sz="4"/>
            </w:tcBorders>
            <w:shd w:fill="1F3A68"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Severity</w:t>
            </w:r>
          </w:p>
        </w:tc>
        <w:tc>
          <w:tcPr>
            <w:tcW w:type="dxa" w:w="2880"/>
            <w:tcBorders>
              <w:top w:val="single" w:color="CCCCCC" w:sz="4"/>
              <w:left w:val="single" w:color="CCCCCC" w:sz="4"/>
              <w:bottom w:val="single" w:color="CCCCCC" w:sz="4"/>
              <w:right w:val="single" w:color="CCCCCC" w:sz="4"/>
            </w:tcBorders>
            <w:shd w:fill="1F3A68"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Trigger</w:t>
            </w:r>
          </w:p>
        </w:tc>
        <w:tc>
          <w:tcPr>
            <w:tcW w:type="dxa" w:w="3080"/>
            <w:tcBorders>
              <w:top w:val="single" w:color="CCCCCC" w:sz="4"/>
              <w:left w:val="single" w:color="CCCCCC" w:sz="4"/>
              <w:bottom w:val="single" w:color="CCCCCC" w:sz="4"/>
              <w:right w:val="single" w:color="CCCCCC" w:sz="4"/>
            </w:tcBorders>
            <w:shd w:fill="1F3A68"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Mitigation</w:t>
            </w:r>
          </w:p>
        </w:tc>
      </w:tr>
      <w:tr>
        <w:tc>
          <w:tcPr>
            <w:tcW w:type="dxa" w:w="2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2"/>
                <w:szCs w:val="22"/>
              </w:rPr>
              <w:t xml:space="preserve">Data migration mismatch</w:t>
            </w:r>
          </w:p>
        </w:tc>
        <w:tc>
          <w:tcPr>
            <w:tcW w:type="dxa" w:w="1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C0392B"/>
                <w:sz w:val="22"/>
                <w:szCs w:val="22"/>
              </w:rPr>
              <w:t xml:space="preserve">High</w:t>
            </w:r>
          </w:p>
        </w:tc>
        <w:tc>
          <w:tcPr>
            <w:tcW w:type="dxa" w:w="28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Firebase JSON-blob shape varies across collections; some records have inconsistent fields</w:t>
            </w:r>
          </w:p>
        </w:tc>
        <w:tc>
          <w:tcPr>
            <w:tcW w:type="dxa" w:w="3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Migration scripts include validation pass; parallel-run period of 1 week per major module catches discrepancies before cutover</w:t>
            </w:r>
          </w:p>
        </w:tc>
      </w:tr>
      <w:tr>
        <w:tc>
          <w:tcPr>
            <w:tcW w:type="dxa" w:w="220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bCs/>
                <w:color w:val="1A1A1A"/>
                <w:sz w:val="22"/>
                <w:szCs w:val="22"/>
              </w:rPr>
              <w:t xml:space="preserve">User adoption friction</w:t>
            </w:r>
          </w:p>
        </w:tc>
        <w:tc>
          <w:tcPr>
            <w:tcW w:type="dxa" w:w="120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bCs/>
                <w:color w:val="E67E22"/>
                <w:sz w:val="22"/>
                <w:szCs w:val="22"/>
              </w:rPr>
              <w:t xml:space="preserve">Medium</w:t>
            </w:r>
          </w:p>
        </w:tc>
        <w:tc>
          <w:tcPr>
            <w:tcW w:type="dxa" w:w="288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Operators resist UI changes after years on the HTML system</w:t>
            </w:r>
          </w:p>
        </w:tc>
        <w:tc>
          <w:tcPr>
            <w:tcW w:type="dxa" w:w="308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New UI mirrors existing flows where possible; module-by-module cutover; training session before each phase</w:t>
            </w:r>
          </w:p>
        </w:tc>
      </w:tr>
      <w:tr>
        <w:tc>
          <w:tcPr>
            <w:tcW w:type="dxa" w:w="2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2"/>
                <w:szCs w:val="22"/>
              </w:rPr>
              <w:t xml:space="preserve">Scope creep during migration</w:t>
            </w:r>
          </w:p>
        </w:tc>
        <w:tc>
          <w:tcPr>
            <w:tcW w:type="dxa" w:w="1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E67E22"/>
                <w:sz w:val="22"/>
                <w:szCs w:val="22"/>
              </w:rPr>
              <w:t xml:space="preserve">Medium</w:t>
            </w:r>
          </w:p>
        </w:tc>
        <w:tc>
          <w:tcPr>
            <w:tcW w:type="dxa" w:w="28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Stakeholders ask for new features mid-migration</w:t>
            </w:r>
          </w:p>
        </w:tc>
        <w:tc>
          <w:tcPr>
            <w:tcW w:type="dxa" w:w="3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Strict rule: feature parity first, new features only after Week 12 cutover. New requests logged as backlog items</w:t>
            </w:r>
          </w:p>
        </w:tc>
      </w:tr>
      <w:tr>
        <w:tc>
          <w:tcPr>
            <w:tcW w:type="dxa" w:w="220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bCs/>
                <w:color w:val="1A1A1A"/>
                <w:sz w:val="22"/>
                <w:szCs w:val="22"/>
              </w:rPr>
              <w:t xml:space="preserve">Supabase outage</w:t>
            </w:r>
          </w:p>
        </w:tc>
        <w:tc>
          <w:tcPr>
            <w:tcW w:type="dxa" w:w="120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bCs/>
                <w:color w:val="27AE60"/>
                <w:sz w:val="22"/>
                <w:szCs w:val="22"/>
              </w:rPr>
              <w:t xml:space="preserve">Low</w:t>
            </w:r>
          </w:p>
        </w:tc>
        <w:tc>
          <w:tcPr>
            <w:tcW w:type="dxa" w:w="288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Supabase regional incident (rare; SLA 99.9%)</w:t>
            </w:r>
          </w:p>
        </w:tc>
        <w:tc>
          <w:tcPr>
            <w:tcW w:type="dxa" w:w="308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Daily offsite backup means worst case is restoring to a fresh Postgres instance and rerouting; ~1 hour RTO</w:t>
            </w:r>
          </w:p>
        </w:tc>
      </w:tr>
      <w:tr>
        <w:tc>
          <w:tcPr>
            <w:tcW w:type="dxa" w:w="2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2"/>
                <w:szCs w:val="22"/>
              </w:rPr>
              <w:t xml:space="preserve">API server failure</w:t>
            </w:r>
          </w:p>
        </w:tc>
        <w:tc>
          <w:tcPr>
            <w:tcW w:type="dxa" w:w="1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27AE60"/>
                <w:sz w:val="22"/>
                <w:szCs w:val="22"/>
              </w:rPr>
              <w:t xml:space="preserve">Low</w:t>
            </w:r>
          </w:p>
        </w:tc>
        <w:tc>
          <w:tcPr>
            <w:tcW w:type="dxa" w:w="28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Single VPS hardware failure</w:t>
            </w:r>
          </w:p>
        </w:tc>
        <w:tc>
          <w:tcPr>
            <w:tcW w:type="dxa" w:w="3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Stateless API auto-restarts; Railway provides automatic recovery; can scale to 2 instances when needed (₹500/mo extra)</w:t>
            </w:r>
          </w:p>
        </w:tc>
      </w:tr>
      <w:tr>
        <w:tc>
          <w:tcPr>
            <w:tcW w:type="dxa" w:w="220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bCs/>
                <w:color w:val="1A1A1A"/>
                <w:sz w:val="22"/>
                <w:szCs w:val="22"/>
              </w:rPr>
              <w:t xml:space="preserve">Postgres connection exhaustion</w:t>
            </w:r>
          </w:p>
        </w:tc>
        <w:tc>
          <w:tcPr>
            <w:tcW w:type="dxa" w:w="120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bCs/>
                <w:color w:val="27AE60"/>
                <w:sz w:val="22"/>
                <w:szCs w:val="22"/>
              </w:rPr>
              <w:t xml:space="preserve">Low</w:t>
            </w:r>
          </w:p>
        </w:tc>
        <w:tc>
          <w:tcPr>
            <w:tcW w:type="dxa" w:w="288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Too many open connections under load</w:t>
            </w:r>
          </w:p>
        </w:tc>
        <w:tc>
          <w:tcPr>
            <w:tcW w:type="dxa" w:w="308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Supabase includes PgBouncer connection pooler; configured on day one</w:t>
            </w:r>
          </w:p>
        </w:tc>
      </w:tr>
      <w:tr>
        <w:tc>
          <w:tcPr>
            <w:tcW w:type="dxa" w:w="2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2"/>
                <w:szCs w:val="22"/>
              </w:rPr>
              <w:t xml:space="preserve">File storage cost overrun</w:t>
            </w:r>
          </w:p>
        </w:tc>
        <w:tc>
          <w:tcPr>
            <w:tcW w:type="dxa" w:w="1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27AE60"/>
                <w:sz w:val="22"/>
                <w:szCs w:val="22"/>
              </w:rPr>
              <w:t xml:space="preserve">Low</w:t>
            </w:r>
          </w:p>
        </w:tc>
        <w:tc>
          <w:tcPr>
            <w:tcW w:type="dxa" w:w="28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QC documents grow faster than projected</w:t>
            </w:r>
          </w:p>
        </w:tc>
        <w:tc>
          <w:tcPr>
            <w:tcW w:type="dxa" w:w="3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100 GB storage included on Supabase Pro; alarm at 80 GB; storage tier upgrade cost is linear and predictable</w:t>
            </w:r>
          </w:p>
        </w:tc>
      </w:tr>
      <w:tr>
        <w:tc>
          <w:tcPr>
            <w:tcW w:type="dxa" w:w="220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bCs/>
                <w:color w:val="1A1A1A"/>
                <w:sz w:val="22"/>
                <w:szCs w:val="22"/>
              </w:rPr>
              <w:t xml:space="preserve">Vendor lock-in concern</w:t>
            </w:r>
          </w:p>
        </w:tc>
        <w:tc>
          <w:tcPr>
            <w:tcW w:type="dxa" w:w="120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bCs/>
                <w:color w:val="27AE60"/>
                <w:sz w:val="22"/>
                <w:szCs w:val="22"/>
              </w:rPr>
              <w:t xml:space="preserve">Very Low</w:t>
            </w:r>
          </w:p>
        </w:tc>
        <w:tc>
          <w:tcPr>
            <w:tcW w:type="dxa" w:w="288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Future need to migrate off Supabase</w:t>
            </w:r>
          </w:p>
        </w:tc>
        <w:tc>
          <w:tcPr>
            <w:tcW w:type="dxa" w:w="308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Supabase = standard Postgres + S3-compatible storage; pg_dump + bucket copy = full migration in one day</w:t>
            </w:r>
          </w:p>
        </w:tc>
      </w:tr>
    </w:tbl>
    <w:p>
      <w:r>
        <w:br w:type="page"/>
      </w:r>
    </w:p>
    <w:p>
      <w:pPr>
        <w:pStyle w:val="Heading1"/>
        <w:spacing w:after="200" w:before="360"/>
      </w:pPr>
      <w:r>
        <w:rPr>
          <w:rFonts w:ascii="Calibri" w:cs="Calibri" w:eastAsia="Calibri" w:hAnsi="Calibri"/>
          <w:b/>
          <w:bCs/>
          <w:color w:val="1F3A68"/>
          <w:sz w:val="36"/>
          <w:szCs w:val="36"/>
        </w:rPr>
        <w:t xml:space="preserve">10. Deliverables &amp; Acceptance Criteria</w:t>
      </w:r>
    </w:p>
    <w:p>
      <w:pPr>
        <w:pStyle w:val="Heading3"/>
        <w:spacing w:after="100" w:before="200"/>
      </w:pPr>
      <w:r>
        <w:rPr>
          <w:rFonts w:ascii="Calibri" w:cs="Calibri" w:eastAsia="Calibri" w:hAnsi="Calibri"/>
          <w:b/>
          <w:bCs/>
          <w:color w:val="1A1A1A"/>
          <w:sz w:val="24"/>
          <w:szCs w:val="24"/>
        </w:rPr>
        <w:t xml:space="preserve">Final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F3A68"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Deliverable</w:t>
            </w:r>
          </w:p>
        </w:tc>
        <w:tc>
          <w:tcPr>
            <w:tcW w:type="dxa" w:w="6360"/>
            <w:tcBorders>
              <w:top w:val="single" w:color="CCCCCC" w:sz="4"/>
              <w:left w:val="single" w:color="CCCCCC" w:sz="4"/>
              <w:bottom w:val="single" w:color="CCCCCC" w:sz="4"/>
              <w:right w:val="single" w:color="CCCCCC" w:sz="4"/>
            </w:tcBorders>
            <w:shd w:fill="1F3A68"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Description</w:t>
            </w:r>
          </w:p>
        </w:tc>
      </w:tr>
      <w:tr>
        <w:tc>
          <w:tcPr>
            <w:tcW w:type="dxa" w:w="30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2"/>
                <w:szCs w:val="22"/>
              </w:rPr>
              <w:t xml:space="preserve">Source Code Repository</w:t>
            </w:r>
          </w:p>
        </w:tc>
        <w:tc>
          <w:tcPr>
            <w:tcW w:type="dxa" w:w="63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Private GitHub repository with monorepo (web, api, shared types, migration scripts). Owned by client. MIT-licensed dependencies only.</w:t>
            </w:r>
          </w:p>
        </w:tc>
      </w:tr>
      <w:tr>
        <w:tc>
          <w:tcPr>
            <w:tcW w:type="dxa" w:w="300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bCs/>
                <w:color w:val="1A1A1A"/>
                <w:sz w:val="22"/>
                <w:szCs w:val="22"/>
              </w:rPr>
              <w:t xml:space="preserve">Production Deployment</w:t>
            </w:r>
          </w:p>
        </w:tc>
        <w:tc>
          <w:tcPr>
            <w:tcW w:type="dxa" w:w="636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Live system at chosen domain, with auto-deploy from main branch via GitHub Actions</w:t>
            </w:r>
          </w:p>
        </w:tc>
      </w:tr>
      <w:tr>
        <w:tc>
          <w:tcPr>
            <w:tcW w:type="dxa" w:w="30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2"/>
                <w:szCs w:val="22"/>
              </w:rPr>
              <w:t xml:space="preserve">Database Schema</w:t>
            </w:r>
          </w:p>
        </w:tc>
        <w:tc>
          <w:tcPr>
            <w:tcW w:type="dxa" w:w="63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Complete Drizzle schema definitions, migration files, RLS policies, seed data scripts</w:t>
            </w:r>
          </w:p>
        </w:tc>
      </w:tr>
      <w:tr>
        <w:tc>
          <w:tcPr>
            <w:tcW w:type="dxa" w:w="300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bCs/>
                <w:color w:val="1A1A1A"/>
                <w:sz w:val="22"/>
                <w:szCs w:val="22"/>
              </w:rPr>
              <w:t xml:space="preserve">Migration Scripts</w:t>
            </w:r>
          </w:p>
        </w:tc>
        <w:tc>
          <w:tcPr>
            <w:tcW w:type="dxa" w:w="636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One-time export/transform/load scripts from Firebase to Supabase, with validation reports</w:t>
            </w:r>
          </w:p>
        </w:tc>
      </w:tr>
      <w:tr>
        <w:tc>
          <w:tcPr>
            <w:tcW w:type="dxa" w:w="30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2"/>
                <w:szCs w:val="22"/>
              </w:rPr>
              <w:t xml:space="preserve">Operations Runbook</w:t>
            </w:r>
          </w:p>
        </w:tc>
        <w:tc>
          <w:tcPr>
            <w:tcW w:type="dxa" w:w="63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Documentation covering deployment, backup/restore, common issues, monitoring dashboards, secret rotation</w:t>
            </w:r>
          </w:p>
        </w:tc>
      </w:tr>
      <w:tr>
        <w:tc>
          <w:tcPr>
            <w:tcW w:type="dxa" w:w="300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bCs/>
                <w:color w:val="1A1A1A"/>
                <w:sz w:val="22"/>
                <w:szCs w:val="22"/>
              </w:rPr>
              <w:t xml:space="preserve">API Reference</w:t>
            </w:r>
          </w:p>
        </w:tc>
        <w:tc>
          <w:tcPr>
            <w:tcW w:type="dxa" w:w="636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OpenAPI specification auto-generated from Zod schemas, served at /docs endpoint</w:t>
            </w:r>
          </w:p>
        </w:tc>
      </w:tr>
      <w:tr>
        <w:tc>
          <w:tcPr>
            <w:tcW w:type="dxa" w:w="30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2"/>
                <w:szCs w:val="22"/>
              </w:rPr>
              <w:t xml:space="preserve">User Training Material</w:t>
            </w:r>
          </w:p>
        </w:tc>
        <w:tc>
          <w:tcPr>
            <w:tcW w:type="dxa" w:w="63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Module-by-module video walkthroughs and quick-reference PDF for end users</w:t>
            </w:r>
          </w:p>
        </w:tc>
      </w:tr>
      <w:tr>
        <w:tc>
          <w:tcPr>
            <w:tcW w:type="dxa" w:w="300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bCs/>
                <w:color w:val="1A1A1A"/>
                <w:sz w:val="22"/>
                <w:szCs w:val="22"/>
              </w:rPr>
              <w:t xml:space="preserve">Monitoring Dashboard</w:t>
            </w:r>
          </w:p>
        </w:tc>
        <w:tc>
          <w:tcPr>
            <w:tcW w:type="dxa" w:w="6360"/>
            <w:tcBorders>
              <w:top w:val="single" w:color="CCCCCC" w:sz="4"/>
              <w:left w:val="single" w:color="CCCCCC" w:sz="4"/>
              <w:bottom w:val="single" w:color="CCCCCC" w:sz="4"/>
              <w:right w:val="single" w:color="CCCCCC" w:sz="4"/>
            </w:tcBorders>
            <w:shd w:fill="F4F6FA" w:val="clear"/>
            <w:tcMar>
              <w:top w:type="dxa" w:w="120"/>
              <w:left w:type="dxa" w:w="160"/>
              <w:bottom w:type="dxa" w:w="120"/>
              <w:right w:type="dxa" w:w="160"/>
            </w:tcMar>
          </w:tcPr>
          <w:p>
            <w:pPr>
              <w:jc w:val="left"/>
            </w:pPr>
            <w:r>
              <w:rPr>
                <w:rFonts w:ascii="Calibri" w:cs="Calibri" w:eastAsia="Calibri" w:hAnsi="Calibri"/>
                <w:b w:val="false"/>
                <w:bCs w:val="false"/>
                <w:color w:val="1A1A1A"/>
                <w:sz w:val="22"/>
                <w:szCs w:val="22"/>
              </w:rPr>
              <w:t xml:space="preserve">Better Stack uptime monitoring, Sentry error tracking, Supabase observability — all configured and accessible</w:t>
            </w:r>
          </w:p>
        </w:tc>
      </w:tr>
    </w:tbl>
    <w:p>
      <w:pPr>
        <w:spacing w:after="160"/>
      </w:pPr>
      <w:r>
        <w:rPr>
          <w:rFonts w:ascii="Calibri" w:cs="Calibri" w:eastAsia="Calibri" w:hAnsi="Calibri"/>
        </w:rPr>
        <w:t xml:space="preserve"/>
      </w:r>
    </w:p>
    <w:p>
      <w:pPr>
        <w:pStyle w:val="Heading3"/>
        <w:spacing w:after="100" w:before="200"/>
      </w:pPr>
      <w:r>
        <w:rPr>
          <w:rFonts w:ascii="Calibri" w:cs="Calibri" w:eastAsia="Calibri" w:hAnsi="Calibri"/>
          <w:b/>
          <w:bCs/>
          <w:color w:val="1A1A1A"/>
          <w:sz w:val="24"/>
          <w:szCs w:val="24"/>
        </w:rPr>
        <w:t xml:space="preserve">Acceptance criteria (per phase)</w:t>
      </w:r>
    </w:p>
    <w:p>
      <w:pPr>
        <w:spacing w:after="120" w:before="0"/>
        <w:jc w:val="left"/>
      </w:pPr>
      <w:r>
        <w:rPr>
          <w:rFonts w:ascii="Calibri" w:cs="Calibri" w:eastAsia="Calibri" w:hAnsi="Calibri"/>
          <w:b w:val="false"/>
          <w:bCs w:val="false"/>
          <w:i w:val="false"/>
          <w:iCs w:val="false"/>
          <w:color w:val="1A1A1A"/>
          <w:sz w:val="22"/>
          <w:szCs w:val="22"/>
        </w:rPr>
        <w:t xml:space="preserve">Each phase has objective acceptance criteria that must be met before proceeding to the next. The client signs off in writing before any phase is considered complete.</w:t>
      </w:r>
    </w:p>
    <w:p>
      <w:pPr>
        <w:pStyle w:val="ListParagraph"/>
        <w:numPr>
          <w:ilvl w:val="0"/>
          <w:numId w:val="2"/>
        </w:numPr>
        <w:spacing w:after="80"/>
      </w:pPr>
      <w:r>
        <w:rPr>
          <w:rFonts w:ascii="Calibri" w:cs="Calibri" w:eastAsia="Calibri" w:hAnsi="Calibri"/>
          <w:color w:val="1A1A1A"/>
          <w:sz w:val="22"/>
          <w:szCs w:val="22"/>
        </w:rPr>
        <w:t xml:space="preserve">All migrated records match Firebase source data exactly (count and content validation report attached)</w:t>
      </w:r>
    </w:p>
    <w:p>
      <w:pPr>
        <w:pStyle w:val="ListParagraph"/>
        <w:numPr>
          <w:ilvl w:val="0"/>
          <w:numId w:val="2"/>
        </w:numPr>
        <w:spacing w:after="80"/>
      </w:pPr>
      <w:r>
        <w:rPr>
          <w:rFonts w:ascii="Calibri" w:cs="Calibri" w:eastAsia="Calibri" w:hAnsi="Calibri"/>
          <w:color w:val="1A1A1A"/>
          <w:sz w:val="22"/>
          <w:szCs w:val="22"/>
        </w:rPr>
        <w:t xml:space="preserve">All RLS policies tested with at least 3 user roles; cross-company access attempts are logged and blocked</w:t>
      </w:r>
    </w:p>
    <w:p>
      <w:pPr>
        <w:pStyle w:val="ListParagraph"/>
        <w:numPr>
          <w:ilvl w:val="0"/>
          <w:numId w:val="2"/>
        </w:numPr>
        <w:spacing w:after="80"/>
      </w:pPr>
      <w:r>
        <w:rPr>
          <w:rFonts w:ascii="Calibri" w:cs="Calibri" w:eastAsia="Calibri" w:hAnsi="Calibri"/>
          <w:color w:val="1A1A1A"/>
          <w:sz w:val="22"/>
          <w:szCs w:val="22"/>
        </w:rPr>
        <w:t xml:space="preserve">All forms submit, validate server-side, and return accurate error messages for invalid input</w:t>
      </w:r>
    </w:p>
    <w:p>
      <w:pPr>
        <w:pStyle w:val="ListParagraph"/>
        <w:numPr>
          <w:ilvl w:val="0"/>
          <w:numId w:val="2"/>
        </w:numPr>
        <w:spacing w:after="80"/>
      </w:pPr>
      <w:r>
        <w:rPr>
          <w:rFonts w:ascii="Calibri" w:cs="Calibri" w:eastAsia="Calibri" w:hAnsi="Calibri"/>
          <w:color w:val="1A1A1A"/>
          <w:sz w:val="22"/>
          <w:szCs w:val="22"/>
        </w:rPr>
        <w:t xml:space="preserve">All reports return correct figures cross-checked against the existing HTML system for the same date range</w:t>
      </w:r>
    </w:p>
    <w:p>
      <w:pPr>
        <w:pStyle w:val="ListParagraph"/>
        <w:numPr>
          <w:ilvl w:val="0"/>
          <w:numId w:val="2"/>
        </w:numPr>
        <w:spacing w:after="80"/>
      </w:pPr>
      <w:r>
        <w:rPr>
          <w:rFonts w:ascii="Calibri" w:cs="Calibri" w:eastAsia="Calibri" w:hAnsi="Calibri"/>
          <w:color w:val="1A1A1A"/>
          <w:sz w:val="22"/>
          <w:szCs w:val="22"/>
        </w:rPr>
        <w:t xml:space="preserve">Backup and restore drill completed successfully on a test environment</w:t>
      </w:r>
    </w:p>
    <w:p>
      <w:pPr>
        <w:pStyle w:val="ListParagraph"/>
        <w:numPr>
          <w:ilvl w:val="0"/>
          <w:numId w:val="2"/>
        </w:numPr>
        <w:spacing w:after="80"/>
      </w:pPr>
      <w:r>
        <w:rPr>
          <w:rFonts w:ascii="Calibri" w:cs="Calibri" w:eastAsia="Calibri" w:hAnsi="Calibri"/>
          <w:color w:val="1A1A1A"/>
          <w:sz w:val="22"/>
          <w:szCs w:val="22"/>
        </w:rPr>
        <w:t xml:space="preserve">Load test passes for 25 concurrent users sustaining 1 request/second per user without errors</w:t>
      </w:r>
    </w:p>
    <w:p>
      <w:r>
        <w:br w:type="page"/>
      </w:r>
    </w:p>
    <w:p>
      <w:pPr>
        <w:pStyle w:val="Heading1"/>
        <w:spacing w:after="200" w:before="360"/>
      </w:pPr>
      <w:r>
        <w:rPr>
          <w:rFonts w:ascii="Calibri" w:cs="Calibri" w:eastAsia="Calibri" w:hAnsi="Calibri"/>
          <w:b/>
          <w:bCs/>
          <w:color w:val="1F3A68"/>
          <w:sz w:val="36"/>
          <w:szCs w:val="36"/>
        </w:rPr>
        <w:t xml:space="preserve">11. Next Steps</w:t>
      </w:r>
    </w:p>
    <w:p>
      <w:pPr>
        <w:spacing w:after="200" w:before="0"/>
        <w:jc w:val="left"/>
      </w:pPr>
      <w:r>
        <w:rPr>
          <w:rFonts w:ascii="Calibri" w:cs="Calibri" w:eastAsia="Calibri" w:hAnsi="Calibri"/>
          <w:b w:val="false"/>
          <w:bCs w:val="false"/>
          <w:i w:val="false"/>
          <w:iCs w:val="false"/>
          <w:color w:val="1A1A1A"/>
          <w:sz w:val="22"/>
          <w:szCs w:val="22"/>
        </w:rPr>
        <w:t xml:space="preserve">If this proposal is approved in principle, the following actions kick off the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68" w:sz="4"/>
              <w:left w:val="single" w:color="1F3A68" w:sz="16"/>
              <w:bottom w:val="single" w:color="1F3A68" w:sz="4"/>
              <w:right w:val="single" w:color="1F3A68" w:sz="4"/>
            </w:tcBorders>
            <w:shd w:fill="FFF8E1" w:val="clear"/>
            <w:tcMar>
              <w:top w:type="dxa" w:w="200"/>
              <w:left w:type="dxa" w:w="240"/>
              <w:bottom w:type="dxa" w:w="200"/>
              <w:right w:type="dxa" w:w="240"/>
            </w:tcMar>
          </w:tcPr>
          <w:p>
            <w:pPr>
              <w:spacing w:after="100"/>
            </w:pPr>
            <w:r>
              <w:rPr>
                <w:rFonts w:ascii="Calibri" w:cs="Calibri" w:eastAsia="Calibri" w:hAnsi="Calibri"/>
                <w:b/>
                <w:bCs/>
                <w:color w:val="1F3A68"/>
                <w:sz w:val="22"/>
                <w:szCs w:val="22"/>
              </w:rPr>
              <w:t xml:space="preserve">Week 0 — Pre-Kickoff (3 working days)</w:t>
            </w:r>
          </w:p>
          <w:p>
            <w:pPr>
              <w:spacing w:after="80"/>
            </w:pPr>
            <w:r>
              <w:rPr>
                <w:rFonts w:ascii="Calibri" w:cs="Calibri" w:eastAsia="Calibri" w:hAnsi="Calibri"/>
                <w:color w:val="1A1A1A"/>
                <w:sz w:val="22"/>
                <w:szCs w:val="22"/>
              </w:rPr>
              <w:t xml:space="preserve">1. Sign off on this proposal and architecture</w:t>
            </w:r>
          </w:p>
          <w:p>
            <w:pPr>
              <w:spacing w:after="80"/>
            </w:pPr>
            <w:r>
              <w:rPr>
                <w:rFonts w:ascii="Calibri" w:cs="Calibri" w:eastAsia="Calibri" w:hAnsi="Calibri"/>
                <w:color w:val="1A1A1A"/>
                <w:sz w:val="22"/>
                <w:szCs w:val="22"/>
              </w:rPr>
              <w:t xml:space="preserve">2. Provision accounts: Supabase Pro, Railway (or Hetzner), Cloudflare, GitHub, Resend</w:t>
            </w:r>
          </w:p>
          <w:p>
            <w:pPr>
              <w:spacing w:after="80"/>
            </w:pPr>
            <w:r>
              <w:rPr>
                <w:rFonts w:ascii="Calibri" w:cs="Calibri" w:eastAsia="Calibri" w:hAnsi="Calibri"/>
                <w:color w:val="1A1A1A"/>
                <w:sz w:val="22"/>
                <w:szCs w:val="22"/>
              </w:rPr>
              <w:t xml:space="preserve">3. Identify primary stakeholder for each module (sales, production, QC, procurement, design)</w:t>
            </w:r>
          </w:p>
          <w:p>
            <w:pPr>
              <w:spacing w:after="80"/>
            </w:pPr>
            <w:r>
              <w:rPr>
                <w:rFonts w:ascii="Calibri" w:cs="Calibri" w:eastAsia="Calibri" w:hAnsi="Calibri"/>
                <w:color w:val="1A1A1A"/>
                <w:sz w:val="22"/>
                <w:szCs w:val="22"/>
              </w:rPr>
              <w:t xml:space="preserve">4. Schedule weekly sync (30 min) to review previous week's progress and unblock decisions</w:t>
            </w:r>
          </w:p>
          <w:p>
            <w:pPr>
              <w:spacing w:after="80"/>
            </w:pPr>
            <w:r>
              <w:rPr>
                <w:rFonts w:ascii="Calibri" w:cs="Calibri" w:eastAsia="Calibri" w:hAnsi="Calibri"/>
                <w:color w:val="1A1A1A"/>
                <w:sz w:val="22"/>
                <w:szCs w:val="22"/>
              </w:rPr>
              <w:t xml:space="preserve">5. Finalize domain name and email setup</w:t>
            </w:r>
          </w:p>
          <w:p>
            <w:pPr>
              <w:spacing w:after="80"/>
            </w:pPr>
            <w:r>
              <w:rPr>
                <w:rFonts w:ascii="Calibri" w:cs="Calibri" w:eastAsia="Calibri" w:hAnsi="Calibri"/>
                <w:color w:val="1A1A1A"/>
                <w:sz w:val="22"/>
                <w:szCs w:val="22"/>
              </w:rPr>
              <w:t xml:space="preserve">6. Schedule training windows aligned with each phase cutover</w:t>
            </w:r>
          </w:p>
        </w:tc>
      </w:tr>
    </w:tbl>
    <w:p>
      <w:pPr>
        <w:spacing w:after="160"/>
      </w:pPr>
      <w:r>
        <w:rPr>
          <w:rFonts w:ascii="Calibri" w:cs="Calibri" w:eastAsia="Calibri" w:hAnsi="Calibri"/>
        </w:rPr>
        <w:t xml:space="preserve"/>
      </w:r>
    </w:p>
    <w:p>
      <w:pPr>
        <w:pStyle w:val="Heading3"/>
        <w:spacing w:after="100" w:before="200"/>
      </w:pPr>
      <w:r>
        <w:rPr>
          <w:rFonts w:ascii="Calibri" w:cs="Calibri" w:eastAsia="Calibri" w:hAnsi="Calibri"/>
          <w:b/>
          <w:bCs/>
          <w:color w:val="1A1A1A"/>
          <w:sz w:val="24"/>
          <w:szCs w:val="24"/>
        </w:rPr>
        <w:t xml:space="preserve">Decisions still needed from client</w:t>
      </w:r>
    </w:p>
    <w:p>
      <w:pPr>
        <w:pStyle w:val="ListParagraph"/>
        <w:numPr>
          <w:ilvl w:val="0"/>
          <w:numId w:val="2"/>
        </w:numPr>
        <w:spacing w:after="80"/>
      </w:pPr>
      <w:r>
        <w:rPr>
          <w:rFonts w:ascii="Calibri" w:cs="Calibri" w:eastAsia="Calibri" w:hAnsi="Calibri"/>
          <w:color w:val="1A1A1A"/>
          <w:sz w:val="22"/>
          <w:szCs w:val="22"/>
        </w:rPr>
        <w:t xml:space="preserve">API hosting choice: Railway (managed, $7/mo) or Hetzner CCX13 (self-managed, ~₹450/mo)</w:t>
      </w:r>
    </w:p>
    <w:p>
      <w:pPr>
        <w:pStyle w:val="ListParagraph"/>
        <w:numPr>
          <w:ilvl w:val="0"/>
          <w:numId w:val="2"/>
        </w:numPr>
        <w:spacing w:after="80"/>
      </w:pPr>
      <w:r>
        <w:rPr>
          <w:rFonts w:ascii="Calibri" w:cs="Calibri" w:eastAsia="Calibri" w:hAnsi="Calibri"/>
          <w:color w:val="1A1A1A"/>
          <w:sz w:val="22"/>
          <w:szCs w:val="22"/>
        </w:rPr>
        <w:t xml:space="preserve">Domain name to use for the new system</w:t>
      </w:r>
    </w:p>
    <w:p>
      <w:pPr>
        <w:pStyle w:val="ListParagraph"/>
        <w:numPr>
          <w:ilvl w:val="0"/>
          <w:numId w:val="2"/>
        </w:numPr>
        <w:spacing w:after="80"/>
      </w:pPr>
      <w:r>
        <w:rPr>
          <w:rFonts w:ascii="Calibri" w:cs="Calibri" w:eastAsia="Calibri" w:hAnsi="Calibri"/>
          <w:color w:val="1A1A1A"/>
          <w:sz w:val="22"/>
          <w:szCs w:val="22"/>
        </w:rPr>
        <w:t xml:space="preserve">Email-from address for transactional emails (e.g., system@innovic.in)</w:t>
      </w:r>
    </w:p>
    <w:p>
      <w:pPr>
        <w:pStyle w:val="ListParagraph"/>
        <w:numPr>
          <w:ilvl w:val="0"/>
          <w:numId w:val="2"/>
        </w:numPr>
        <w:spacing w:after="80"/>
      </w:pPr>
      <w:r>
        <w:rPr>
          <w:rFonts w:ascii="Calibri" w:cs="Calibri" w:eastAsia="Calibri" w:hAnsi="Calibri"/>
          <w:color w:val="1A1A1A"/>
          <w:sz w:val="22"/>
          <w:szCs w:val="22"/>
        </w:rPr>
        <w:t xml:space="preserve">Initial admin user list (full name, email, role)</w:t>
      </w:r>
    </w:p>
    <w:p>
      <w:pPr>
        <w:pStyle w:val="ListParagraph"/>
        <w:numPr>
          <w:ilvl w:val="0"/>
          <w:numId w:val="2"/>
        </w:numPr>
        <w:spacing w:after="80"/>
      </w:pPr>
      <w:r>
        <w:rPr>
          <w:rFonts w:ascii="Calibri" w:cs="Calibri" w:eastAsia="Calibri" w:hAnsi="Calibri"/>
          <w:color w:val="1A1A1A"/>
          <w:sz w:val="22"/>
          <w:szCs w:val="22"/>
        </w:rPr>
        <w:t xml:space="preserve">Confirmation that current Firebase project access can be granted to migration scripts (read-only sufficient)</w:t>
      </w:r>
    </w:p>
    <w:p>
      <w:pPr>
        <w:pStyle w:val="ListParagraph"/>
        <w:numPr>
          <w:ilvl w:val="0"/>
          <w:numId w:val="2"/>
        </w:numPr>
        <w:spacing w:after="80"/>
      </w:pPr>
      <w:r>
        <w:rPr>
          <w:rFonts w:ascii="Calibri" w:cs="Calibri" w:eastAsia="Calibri" w:hAnsi="Calibri"/>
          <w:color w:val="1A1A1A"/>
          <w:sz w:val="22"/>
          <w:szCs w:val="22"/>
        </w:rPr>
        <w:t xml:space="preserve">Any compliance or audit requirements not already covered (currently none assumed)</w:t>
      </w:r>
    </w:p>
    <w:p>
      <w:pPr>
        <w:spacing w:after="200"/>
      </w:pPr>
      <w:r>
        <w:rPr>
          <w:rFonts w:ascii="Calibri" w:cs="Calibri" w:eastAsia="Calibri" w:hAnsi="Calibri"/>
        </w:rPr>
        <w:t xml:space="preserve"/>
      </w:r>
    </w:p>
    <w:p>
      <w:pPr>
        <w:pBdr>
          <w:bottom w:val="single" w:color="1F3A68" w:sz="6" w:space="1"/>
        </w:pBdr>
        <w:spacing w:after="200" w:before="120"/>
      </w:pPr>
      <w:r>
        <w:rPr>
          <w:rFonts w:ascii="Calibri" w:cs="Calibri" w:eastAsia="Calibri" w:hAnsi="Calibri"/>
        </w:rPr>
        <w:t xml:space="preserve"/>
      </w:r>
    </w:p>
    <w:p>
      <w:pPr>
        <w:spacing w:after="100"/>
      </w:pPr>
      <w:r>
        <w:rPr>
          <w:rFonts w:ascii="Calibri" w:cs="Calibri" w:eastAsia="Calibri" w:hAnsi="Calibri"/>
        </w:rPr>
        <w:t xml:space="preserve"/>
      </w:r>
    </w:p>
    <w:p>
      <w:pPr>
        <w:spacing w:after="200" w:before="0"/>
        <w:jc w:val="left"/>
      </w:pPr>
      <w:r>
        <w:rPr>
          <w:rFonts w:ascii="Calibri" w:cs="Calibri" w:eastAsia="Calibri" w:hAnsi="Calibri"/>
          <w:b w:val="false"/>
          <w:bCs w:val="false"/>
          <w:i/>
          <w:iCs/>
          <w:color w:val="555555"/>
          <w:sz w:val="22"/>
          <w:szCs w:val="22"/>
        </w:rPr>
        <w:t xml:space="preserve">This proposal is valid for 30 days from the document date. All architecture decisions are reversible — at any point during the engagement, the client retains full ownership of the source code, database schema, and all data, and can move the entire system to alternative infrastructure with no vendor-locked components.</w:t>
      </w:r>
    </w:p>
    <w:p>
      <w:pPr>
        <w:spacing w:after="400"/>
      </w:pPr>
      <w:r>
        <w:rPr>
          <w:rFonts w:ascii="Calibri" w:cs="Calibri" w:eastAsia="Calibri" w:hAnsi="Calibri"/>
        </w:rPr>
        <w:t xml:space="preserve"/>
      </w:r>
    </w:p>
    <w:p>
      <w:pPr>
        <w:spacing w:after="120" w:before="0"/>
        <w:jc w:val="center"/>
      </w:pPr>
      <w:r>
        <w:rPr>
          <w:rFonts w:ascii="Calibri" w:cs="Calibri" w:eastAsia="Calibri" w:hAnsi="Calibri"/>
          <w:b w:val="false"/>
          <w:bCs w:val="false"/>
          <w:i/>
          <w:iCs/>
          <w:color w:val="555555"/>
          <w:sz w:val="22"/>
          <w:szCs w:val="22"/>
        </w:rPr>
        <w:t xml:space="preserve">End of Proposal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r>
      <w:rPr>
        <w:rFonts w:ascii="Calibri" w:cs="Calibri" w:eastAsia="Calibri" w:hAnsi="Calibri"/>
        <w:color w:val="555555"/>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i/>
        <w:iCs/>
        <w:color w:val="555555"/>
        <w:sz w:val="18"/>
        <w:szCs w:val="18"/>
      </w:rPr>
      <w:t xml:space="preserve">Innovic ERP — Migration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68"/>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3A68"/>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Innovic ERP Migration Proposal</dc:title>
  <dc:creator>Innovic ERP Migration Project</dc:creator>
  <dc:description>Migration from HTML/Firebase to Supabase production architecture</dc:description>
  <cp:lastModifiedBy>Un-named</cp:lastModifiedBy>
  <cp:revision>1</cp:revision>
  <dcterms:created xsi:type="dcterms:W3CDTF">2026-04-29T15:15:06.512Z</dcterms:created>
  <dcterms:modified xsi:type="dcterms:W3CDTF">2026-04-29T15:15:06.513Z</dcterms:modified>
</cp:coreProperties>
</file>

<file path=docProps/custom.xml><?xml version="1.0" encoding="utf-8"?>
<Properties xmlns="http://schemas.openxmlformats.org/officeDocument/2006/custom-properties" xmlns:vt="http://schemas.openxmlformats.org/officeDocument/2006/docPropsVTypes"/>
</file>