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5339"/>
          <w:sz w:val="32"/>
          <w:szCs w:val="32"/>
        </w:rPr>
        <w:t xml:space="preserve">Data Cleaning &amp; Preparation — Change Log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DecodeLabs Industrial Training Kit — Project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Dataset: </w:t>
      </w:r>
      <w:r>
        <w:rPr>
          <w:sz w:val="22"/>
          <w:szCs w:val="22"/>
        </w:rPr>
        <w:t xml:space="preserve">Dataset for Data Analytics.xlsx  (1200 rows × 14 original columns)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Tool used: </w:t>
      </w:r>
      <w:r>
        <w:rPr>
          <w:sz w:val="22"/>
          <w:szCs w:val="22"/>
        </w:rPr>
        <w:t xml:space="preserve">Python (pandas)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Output file: </w:t>
      </w:r>
      <w:r>
        <w:rPr>
          <w:sz w:val="22"/>
          <w:szCs w:val="22"/>
        </w:rPr>
        <w:t xml:space="preserve">Cleaned_Dataset_DA.xlsx</w:t>
      </w:r>
    </w:p>
    <w:p>
      <w:pPr>
        <w:pStyle w:val="Heading1"/>
        <w:spacing w:after="200" w:before="200"/>
      </w:pPr>
      <w:r>
        <w:rPr>
          <w:color w:val="2E5339"/>
        </w:rPr>
        <w:t xml:space="preserve">1. Summary of Changes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"/>
        <w:gridCol w:w="2048"/>
        <w:gridCol w:w="3482"/>
        <w:gridCol w:w="2253"/>
        <w:gridCol w:w="1536"/>
      </w:tblGrid>
      <w:tr>
        <w:trPr>
          <w:tblHeader/>
        </w:trPr>
        <w:tc>
          <w:tcPr>
            <w:tcW w:type="dxa" w:w="922"/>
            <w:shd w:fill="2E533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ID</w:t>
            </w:r>
          </w:p>
        </w:tc>
        <w:tc>
          <w:tcPr>
            <w:tcW w:type="dxa" w:w="2048"/>
            <w:shd w:fill="2E533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82"/>
            <w:shd w:fill="2E533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3"/>
            <w:shd w:fill="2E533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 / Result</w:t>
            </w:r>
          </w:p>
        </w:tc>
        <w:tc>
          <w:tcPr>
            <w:tcW w:type="dxa" w:w="1536"/>
            <w:shd w:fill="2E533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2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CR001</w:t>
            </w:r>
          </w:p>
        </w:tc>
        <w:tc>
          <w:tcPr>
            <w:tcW w:type="dxa" w:w="204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348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CouponCode column had 309 null (missing) values out of 1200 records. Filled using fillna() with the placeholder 'No Coupon', since a missing coupon logically means no coupon was applied — not a data entry error.</w:t>
            </w:r>
          </w:p>
        </w:tc>
        <w:tc>
          <w:tcPr>
            <w:tcW w:type="dxa" w:w="225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missing values remain across all 14 original columns. All 1200 records preserved (no rows dropped).</w:t>
            </w:r>
          </w:p>
        </w:tc>
        <w:tc>
          <w:tcPr>
            <w:tcW w:type="dxa" w:w="153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92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CR002</w:t>
            </w:r>
          </w:p>
        </w:tc>
        <w:tc>
          <w:tcPr>
            <w:tcW w:type="dxa" w:w="204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Records</w:t>
            </w:r>
          </w:p>
        </w:tc>
        <w:tc>
          <w:tcPr>
            <w:tcW w:type="dxa" w:w="348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Checked for full-row duplicates using duplicated().sum() and for duplicate OrderID values specifically (unique transaction identifier). drop_duplicates() was applied as a safeguard.</w:t>
            </w:r>
          </w:p>
        </w:tc>
        <w:tc>
          <w:tcPr>
            <w:tcW w:type="dxa" w:w="225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duplicate rows and 0 duplicate OrderIDs found. 0% duplicate rate confirmed — meets Project 2 verification gate.</w:t>
            </w:r>
          </w:p>
        </w:tc>
        <w:tc>
          <w:tcPr>
            <w:tcW w:type="dxa" w:w="153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92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CR003</w:t>
            </w:r>
          </w:p>
        </w:tc>
        <w:tc>
          <w:tcPr>
            <w:tcW w:type="dxa" w:w="204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Format Standardization</w:t>
            </w:r>
          </w:p>
        </w:tc>
        <w:tc>
          <w:tcPr>
            <w:tcW w:type="dxa" w:w="348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column was converted from its raw imported type to a proper datetime format using pd.to_datetime(errors='coerce'), ensuring consistent parsing across all rows.</w:t>
            </w:r>
          </w:p>
        </w:tc>
        <w:tc>
          <w:tcPr>
            <w:tcW w:type="dxa" w:w="225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incorrectly formatted or unparseable dates remain. Enabled derived Year, Month, and Day (name) columns for further analysis — meets Project 2 verification gate.</w:t>
            </w:r>
          </w:p>
        </w:tc>
        <w:tc>
          <w:tcPr>
            <w:tcW w:type="dxa" w:w="153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92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CR004</w:t>
            </w:r>
          </w:p>
        </w:tc>
        <w:tc>
          <w:tcPr>
            <w:tcW w:type="dxa" w:w="204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/ Format Cleaning</w:t>
            </w:r>
          </w:p>
        </w:tc>
        <w:tc>
          <w:tcPr>
            <w:tcW w:type="dxa" w:w="348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Applied .str.strip() to Product, PaymentMethod, OrderStatus, CouponCode, and ReferralSource to remove leading/trailing whitespace. Verified unique() values in each categorical column to confirm no case-mismatch or spelling variants (e.g. 'shipped' vs 'Shipped') existed.</w:t>
            </w:r>
          </w:p>
        </w:tc>
        <w:tc>
          <w:tcPr>
            <w:tcW w:type="dxa" w:w="225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categorical columns standardized to a single consistent representation per category.</w:t>
            </w:r>
          </w:p>
        </w:tc>
        <w:tc>
          <w:tcPr>
            <w:tcW w:type="dxa" w:w="153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92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CR005</w:t>
            </w:r>
          </w:p>
        </w:tc>
        <w:tc>
          <w:tcPr>
            <w:tcW w:type="dxa" w:w="204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Data Validation</w:t>
            </w:r>
          </w:p>
        </w:tc>
        <w:tc>
          <w:tcPr>
            <w:tcW w:type="dxa" w:w="348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Checked Quantity, UnitPrice, and TotalPrice columns for negative or zero values, which would indicate corrupted or invalid transactions.</w:t>
            </w:r>
          </w:p>
        </w:tc>
        <w:tc>
          <w:tcPr>
            <w:tcW w:type="dxa" w:w="225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negative values and 0 zero values found in any of the three numeric columns — numeric data integrity confirmed.</w:t>
            </w:r>
          </w:p>
        </w:tc>
        <w:tc>
          <w:tcPr>
            <w:tcW w:type="dxa" w:w="153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 / No Action Needed</w:t>
            </w:r>
          </w:p>
        </w:tc>
      </w:tr>
    </w:tbl>
    <w:p>
      <w:pPr>
        <w:pStyle w:val="Heading1"/>
        <w:spacing w:after="200" w:before="300"/>
      </w:pPr>
      <w:r>
        <w:rPr>
          <w:color w:val="2E5339"/>
        </w:rPr>
        <w:t xml:space="preserve">2. Verification Against Project Gate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Per the internship guidelines, Project 1 must demonstrate zero duplicate identifiers and zero incorrectly formatted dates before qualifying for Project 2.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44"/>
        <w:gridCol w:w="4096"/>
      </w:tblGrid>
      <w:tr>
        <w:trPr>
          <w:tblHeader/>
        </w:trPr>
        <w:tc>
          <w:tcPr>
            <w:tcW w:type="dxa" w:w="6144"/>
            <w:shd w:fill="2E533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Verification Check</w:t>
            </w:r>
          </w:p>
        </w:tc>
        <w:tc>
          <w:tcPr>
            <w:tcW w:type="dxa" w:w="4096"/>
            <w:shd w:fill="2E533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1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OrderIDs (unique identifier check)</w:t>
            </w:r>
          </w:p>
        </w:tc>
        <w:tc>
          <w:tcPr>
            <w:tcW w:type="dxa" w:w="409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0% — Target met</w:t>
            </w:r>
          </w:p>
        </w:tc>
      </w:tr>
      <w:tr>
        <w:tc>
          <w:tcPr>
            <w:tcW w:type="dxa" w:w="61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Incorrectly formatted / unparseable dates</w:t>
            </w:r>
          </w:p>
        </w:tc>
        <w:tc>
          <w:tcPr>
            <w:tcW w:type="dxa" w:w="409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0% — Target met</w:t>
            </w:r>
          </w:p>
        </w:tc>
      </w:tr>
      <w:tr>
        <w:tc>
          <w:tcPr>
            <w:tcW w:type="dxa" w:w="61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values remaining in dataset</w:t>
            </w:r>
          </w:p>
        </w:tc>
        <w:tc>
          <w:tcPr>
            <w:tcW w:type="dxa" w:w="409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 — Target met</w:t>
            </w:r>
          </w:p>
        </w:tc>
      </w:tr>
      <w:tr>
        <w:tc>
          <w:tcPr>
            <w:tcW w:type="dxa" w:w="61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Negative or zero values in numeric fields</w:t>
            </w:r>
          </w:p>
        </w:tc>
        <w:tc>
          <w:tcPr>
            <w:tcW w:type="dxa" w:w="409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 — Target met</w:t>
            </w:r>
          </w:p>
        </w:tc>
      </w:tr>
      <w:tr>
        <w:tc>
          <w:tcPr>
            <w:tcW w:type="dxa" w:w="61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records before vs. after cleaning</w:t>
            </w:r>
          </w:p>
        </w:tc>
        <w:tc>
          <w:tcPr>
            <w:tcW w:type="dxa" w:w="409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1200 → 1200 (no data loss)</w:t>
            </w:r>
          </w:p>
        </w:tc>
      </w:tr>
    </w:tbl>
    <w:p>
      <w:pPr>
        <w:pStyle w:val="Heading1"/>
        <w:spacing w:before="300"/>
      </w:pPr>
      <w:r>
        <w:rPr>
          <w:color w:val="2E5339"/>
        </w:rPr>
        <w:t xml:space="preserve">3. Sign-off</w:t>
      </w:r>
    </w:p>
    <w:p>
      <w:pPr>
        <w:spacing w:before="150"/>
      </w:pPr>
      <w:r>
        <w:rPr>
          <w:sz w:val="22"/>
          <w:szCs w:val="22"/>
        </w:rPr>
        <w:t xml:space="preserve">All required data cleaning steps (missing values, duplicates, and format correction) have been completed and verified as documented above. The cleaned dataset is ready for submission.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2026-09-09T06:23:37.076Z</dcterms:created>
  <dcterms:modified xsi:type="dcterms:W3CDTF">2026-09-09T06:23:37.088Z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