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56DB"/>
        </w:rPr>
        <w:t>MediCluster</w:t>
      </w:r>
    </w:p>
    <w:p>
      <w:pPr>
        <w:jc w:val="center"/>
      </w:pPr>
      <w:r>
        <w:rPr>
          <w:b/>
          <w:sz w:val="36"/>
        </w:rPr>
        <w:t>Patient Health Risk Segregation Platform</w:t>
      </w:r>
    </w:p>
    <w:p>
      <w:pPr>
        <w:jc w:val="center"/>
      </w:pPr>
      <w:r>
        <w:t>Comprehensive Technical Report  |  Version 1.0  |  May 2026</w:t>
      </w:r>
    </w:p>
    <w:p>
      <w:r>
        <w:br w:type="page"/>
      </w:r>
    </w:p>
    <w:p>
      <w:pPr>
        <w:pStyle w:val="Heading1"/>
      </w:pPr>
      <w:r>
        <w:rPr>
          <w:color w:val="1A56DB"/>
        </w:rPr>
        <w:t>1. SYSTEM ARCHITECTURE</w:t>
      </w:r>
    </w:p>
    <w:p>
      <w:r>
        <w:rPr>
          <w:b w:val="0"/>
          <w:sz w:val="22"/>
        </w:rPr>
        <w:t>MediCluster follows a modern three-tier microservices architecture with a React frontend, Node.js API gateway, and Python ML engine.</w:t>
      </w:r>
    </w:p>
    <w:p>
      <w:r>
        <w:drawing>
          <wp:inline xmlns:a="http://schemas.openxmlformats.org/drawingml/2006/main" xmlns:pic="http://schemas.openxmlformats.org/drawingml/2006/picture">
            <wp:extent cx="5486400" cy="34842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42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color w:val="1A56DB"/>
        </w:rPr>
        <w:t>2. RISK SCORING SYSTEM</w:t>
      </w:r>
    </w:p>
    <w:p>
      <w:r>
        <w:rPr>
          <w:b w:val="0"/>
          <w:sz w:val="22"/>
        </w:rPr>
        <w:t>The Advanced Risk module classifies patients into 4 tiers using a composite clinical scoring engine based on vital signs, lab values, comorbidities, and free-text clinical notes.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Risk Tier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 Range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Triage 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0-24</w:t>
            </w:r>
          </w:p>
        </w:tc>
        <w:tc>
          <w:tcPr>
            <w:tcW w:type="dxa" w:w="2160"/>
          </w:tcPr>
          <w:p>
            <w:r>
              <w:t>P4 - Routine</w:t>
            </w:r>
          </w:p>
        </w:tc>
        <w:tc>
          <w:tcPr>
            <w:tcW w:type="dxa" w:w="2160"/>
          </w:tcPr>
          <w:p>
            <w:r>
              <w:t>Standard monitoring</w:t>
            </w:r>
          </w:p>
        </w:tc>
      </w:tr>
      <w:tr>
        <w:tc>
          <w:tcPr>
            <w:tcW w:type="dxa" w:w="2160"/>
          </w:tcPr>
          <w:p>
            <w:r>
              <w:t>Moderate</w:t>
            </w:r>
          </w:p>
        </w:tc>
        <w:tc>
          <w:tcPr>
            <w:tcW w:type="dxa" w:w="2160"/>
          </w:tcPr>
          <w:p>
            <w:r>
              <w:t>25-49</w:t>
            </w:r>
          </w:p>
        </w:tc>
        <w:tc>
          <w:tcPr>
            <w:tcW w:type="dxa" w:w="2160"/>
          </w:tcPr>
          <w:p>
            <w:r>
              <w:t>P3 - Soon</w:t>
            </w:r>
          </w:p>
        </w:tc>
        <w:tc>
          <w:tcPr>
            <w:tcW w:type="dxa" w:w="2160"/>
          </w:tcPr>
          <w:p>
            <w:r>
              <w:t>Follow-up review</w:t>
            </w:r>
          </w:p>
        </w:tc>
      </w:tr>
      <w:tr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50-74</w:t>
            </w:r>
          </w:p>
        </w:tc>
        <w:tc>
          <w:tcPr>
            <w:tcW w:type="dxa" w:w="2160"/>
          </w:tcPr>
          <w:p>
            <w:r>
              <w:t>P2 - Urgent</w:t>
            </w:r>
          </w:p>
        </w:tc>
        <w:tc>
          <w:tcPr>
            <w:tcW w:type="dxa" w:w="2160"/>
          </w:tcPr>
          <w:p>
            <w:r>
              <w:t>Same-day doctor review</w:t>
            </w:r>
          </w:p>
        </w:tc>
      </w:tr>
      <w:tr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75-100</w:t>
            </w:r>
          </w:p>
        </w:tc>
        <w:tc>
          <w:tcPr>
            <w:tcW w:type="dxa" w:w="2160"/>
          </w:tcPr>
          <w:p>
            <w:r>
              <w:t>P1 - Immediate</w:t>
            </w:r>
          </w:p>
        </w:tc>
        <w:tc>
          <w:tcPr>
            <w:tcW w:type="dxa" w:w="2160"/>
          </w:tcPr>
          <w:p>
            <w:r>
              <w:t>Emergency response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3717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17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25097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97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color w:val="1A56DB"/>
        </w:rPr>
        <w:t>3. CLUSTERING ALGORITHMS</w:t>
      </w:r>
    </w:p>
    <w:p>
      <w:r>
        <w:rPr>
          <w:sz w:val="22"/>
        </w:rPr>
        <w:t>MediCluster supports four clustering algorithms, each suited for different clinical data patterns.</w:t>
      </w:r>
    </w:p>
    <w:p>
      <w:r>
        <w:drawing>
          <wp:inline xmlns:a="http://schemas.openxmlformats.org/drawingml/2006/main" xmlns:pic="http://schemas.openxmlformats.org/drawingml/2006/picture">
            <wp:extent cx="5943600" cy="50873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73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Algorithm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Best For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 Parameter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Detects Noise?</w:t>
            </w:r>
          </w:p>
        </w:tc>
      </w:tr>
      <w:tr>
        <w:tc>
          <w:tcPr>
            <w:tcW w:type="dxa" w:w="2160"/>
          </w:tcPr>
          <w:p>
            <w:r>
              <w:t>K-Means</w:t>
            </w:r>
          </w:p>
        </w:tc>
        <w:tc>
          <w:tcPr>
            <w:tcW w:type="dxa" w:w="2160"/>
          </w:tcPr>
          <w:p>
            <w:r>
              <w:t>Large, spherical clusters</w:t>
            </w:r>
          </w:p>
        </w:tc>
        <w:tc>
          <w:tcPr>
            <w:tcW w:type="dxa" w:w="2160"/>
          </w:tcPr>
          <w:p>
            <w:r>
              <w:t>K (num clusters)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DBSCAN</w:t>
            </w:r>
          </w:p>
        </w:tc>
        <w:tc>
          <w:tcPr>
            <w:tcW w:type="dxa" w:w="2160"/>
          </w:tcPr>
          <w:p>
            <w:r>
              <w:t>Arbitrary shapes, outliers</w:t>
            </w:r>
          </w:p>
        </w:tc>
        <w:tc>
          <w:tcPr>
            <w:tcW w:type="dxa" w:w="2160"/>
          </w:tcPr>
          <w:p>
            <w:r>
              <w:t>eps, min_samples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Hierarchical</w:t>
            </w:r>
          </w:p>
        </w:tc>
        <w:tc>
          <w:tcPr>
            <w:tcW w:type="dxa" w:w="2160"/>
          </w:tcPr>
          <w:p>
            <w:r>
              <w:t>Unknown K, tree analysis</w:t>
            </w:r>
          </w:p>
        </w:tc>
        <w:tc>
          <w:tcPr>
            <w:tcW w:type="dxa" w:w="2160"/>
          </w:tcPr>
          <w:p>
            <w:r>
              <w:t>n_clusters, linkage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GMM</w:t>
            </w:r>
          </w:p>
        </w:tc>
        <w:tc>
          <w:tcPr>
            <w:tcW w:type="dxa" w:w="2160"/>
          </w:tcPr>
          <w:p>
            <w:r>
              <w:t>Soft assignments, uncertainty</w:t>
            </w:r>
          </w:p>
        </w:tc>
        <w:tc>
          <w:tcPr>
            <w:tcW w:type="dxa" w:w="2160"/>
          </w:tcPr>
          <w:p>
            <w:r>
              <w:t>n_components, cov_type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/>
    <w:p>
      <w:pPr>
        <w:pStyle w:val="Heading1"/>
      </w:pPr>
      <w:r>
        <w:rPr>
          <w:color w:val="1A56DB"/>
        </w:rPr>
        <w:t>4. NLP CLINICAL NOTES ANALYZER</w:t>
      </w:r>
    </w:p>
    <w:p>
      <w:r>
        <w:rPr>
          <w:sz w:val="22"/>
        </w:rPr>
        <w:t>The NLP module processes free-text clinical notes using an 18-step pipeline combining SpaCy biomedical NER, regex patterns, and HuggingFace Transformers.</w:t>
      </w:r>
    </w:p>
    <w:p>
      <w:r>
        <w:drawing>
          <wp:inline xmlns:a="http://schemas.openxmlformats.org/drawingml/2006/main" xmlns:pic="http://schemas.openxmlformats.org/drawingml/2006/picture">
            <wp:extent cx="5943600" cy="41208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08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ICD-10 Code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pneumonia</w:t>
            </w:r>
          </w:p>
        </w:tc>
        <w:tc>
          <w:tcPr>
            <w:tcW w:type="dxa" w:w="2880"/>
          </w:tcPr>
          <w:p>
            <w:r>
              <w:t>J18.9</w:t>
            </w:r>
          </w:p>
        </w:tc>
        <w:tc>
          <w:tcPr>
            <w:tcW w:type="dxa" w:w="2880"/>
          </w:tcPr>
          <w:p>
            <w:r>
              <w:t>Pneumonia, unspecified organism</w:t>
            </w:r>
          </w:p>
        </w:tc>
      </w:tr>
      <w:tr>
        <w:tc>
          <w:tcPr>
            <w:tcW w:type="dxa" w:w="2880"/>
          </w:tcPr>
          <w:p>
            <w:r>
              <w:t>sepsis</w:t>
            </w:r>
          </w:p>
        </w:tc>
        <w:tc>
          <w:tcPr>
            <w:tcW w:type="dxa" w:w="2880"/>
          </w:tcPr>
          <w:p>
            <w:r>
              <w:t>A41.9</w:t>
            </w:r>
          </w:p>
        </w:tc>
        <w:tc>
          <w:tcPr>
            <w:tcW w:type="dxa" w:w="2880"/>
          </w:tcPr>
          <w:p>
            <w:r>
              <w:t>Sepsis, unspecified organism</w:t>
            </w:r>
          </w:p>
        </w:tc>
      </w:tr>
      <w:tr>
        <w:tc>
          <w:tcPr>
            <w:tcW w:type="dxa" w:w="2880"/>
          </w:tcPr>
          <w:p>
            <w:r>
              <w:t>heart failure</w:t>
            </w:r>
          </w:p>
        </w:tc>
        <w:tc>
          <w:tcPr>
            <w:tcW w:type="dxa" w:w="2880"/>
          </w:tcPr>
          <w:p>
            <w:r>
              <w:t>I50.9</w:t>
            </w:r>
          </w:p>
        </w:tc>
        <w:tc>
          <w:tcPr>
            <w:tcW w:type="dxa" w:w="2880"/>
          </w:tcPr>
          <w:p>
            <w:r>
              <w:t>Heart failure, unspecified</w:t>
            </w:r>
          </w:p>
        </w:tc>
      </w:tr>
      <w:tr>
        <w:tc>
          <w:tcPr>
            <w:tcW w:type="dxa" w:w="2880"/>
          </w:tcPr>
          <w:p>
            <w:r>
              <w:t>myocardial infarction</w:t>
            </w:r>
          </w:p>
        </w:tc>
        <w:tc>
          <w:tcPr>
            <w:tcW w:type="dxa" w:w="2880"/>
          </w:tcPr>
          <w:p>
            <w:r>
              <w:t>I21.9</w:t>
            </w:r>
          </w:p>
        </w:tc>
        <w:tc>
          <w:tcPr>
            <w:tcW w:type="dxa" w:w="2880"/>
          </w:tcPr>
          <w:p>
            <w:r>
              <w:t>Acute MI, unspecified</w:t>
            </w:r>
          </w:p>
        </w:tc>
      </w:tr>
      <w:tr>
        <w:tc>
          <w:tcPr>
            <w:tcW w:type="dxa" w:w="2880"/>
          </w:tcPr>
          <w:p>
            <w:r>
              <w:t>diabetes</w:t>
            </w:r>
          </w:p>
        </w:tc>
        <w:tc>
          <w:tcPr>
            <w:tcW w:type="dxa" w:w="2880"/>
          </w:tcPr>
          <w:p>
            <w:r>
              <w:t>E11.9</w:t>
            </w:r>
          </w:p>
        </w:tc>
        <w:tc>
          <w:tcPr>
            <w:tcW w:type="dxa" w:w="2880"/>
          </w:tcPr>
          <w:p>
            <w:r>
              <w:t>Type 2 diabetes without complications</w:t>
            </w:r>
          </w:p>
        </w:tc>
      </w:tr>
      <w:tr>
        <w:tc>
          <w:tcPr>
            <w:tcW w:type="dxa" w:w="2880"/>
          </w:tcPr>
          <w:p>
            <w:r>
              <w:t>stroke</w:t>
            </w:r>
          </w:p>
        </w:tc>
        <w:tc>
          <w:tcPr>
            <w:tcW w:type="dxa" w:w="2880"/>
          </w:tcPr>
          <w:p>
            <w:r>
              <w:t>I63.9</w:t>
            </w:r>
          </w:p>
        </w:tc>
        <w:tc>
          <w:tcPr>
            <w:tcW w:type="dxa" w:w="2880"/>
          </w:tcPr>
          <w:p>
            <w:r>
              <w:t>Cerebral infarction, unspecified</w:t>
            </w:r>
          </w:p>
        </w:tc>
      </w:tr>
      <w:tr>
        <w:tc>
          <w:tcPr>
            <w:tcW w:type="dxa" w:w="2880"/>
          </w:tcPr>
          <w:p>
            <w:r>
              <w:t>pulmonary embolism</w:t>
            </w:r>
          </w:p>
        </w:tc>
        <w:tc>
          <w:tcPr>
            <w:tcW w:type="dxa" w:w="2880"/>
          </w:tcPr>
          <w:p>
            <w:r>
              <w:t>I26.99</w:t>
            </w:r>
          </w:p>
        </w:tc>
        <w:tc>
          <w:tcPr>
            <w:tcW w:type="dxa" w:w="2880"/>
          </w:tcPr>
          <w:p>
            <w:r>
              <w:t>PE without cor pulmonale</w:t>
            </w:r>
          </w:p>
        </w:tc>
      </w:tr>
      <w:tr>
        <w:tc>
          <w:tcPr>
            <w:tcW w:type="dxa" w:w="2880"/>
          </w:tcPr>
          <w:p>
            <w:r>
              <w:t>acute kidney injury</w:t>
            </w:r>
          </w:p>
        </w:tc>
        <w:tc>
          <w:tcPr>
            <w:tcW w:type="dxa" w:w="2880"/>
          </w:tcPr>
          <w:p>
            <w:r>
              <w:t>N17.9</w:t>
            </w:r>
          </w:p>
        </w:tc>
        <w:tc>
          <w:tcPr>
            <w:tcW w:type="dxa" w:w="2880"/>
          </w:tcPr>
          <w:p>
            <w:r>
              <w:t>Acute kidney failure, unspecified</w:t>
            </w:r>
          </w:p>
        </w:tc>
      </w:tr>
      <w:tr>
        <w:tc>
          <w:tcPr>
            <w:tcW w:type="dxa" w:w="2880"/>
          </w:tcPr>
          <w:p>
            <w:r>
              <w:t>copd</w:t>
            </w:r>
          </w:p>
        </w:tc>
        <w:tc>
          <w:tcPr>
            <w:tcW w:type="dxa" w:w="2880"/>
          </w:tcPr>
          <w:p>
            <w:r>
              <w:t>J44.9</w:t>
            </w:r>
          </w:p>
        </w:tc>
        <w:tc>
          <w:tcPr>
            <w:tcW w:type="dxa" w:w="2880"/>
          </w:tcPr>
          <w:p>
            <w:r>
              <w:t>COPD, unspecified</w:t>
            </w:r>
          </w:p>
        </w:tc>
      </w:tr>
      <w:tr>
        <w:tc>
          <w:tcPr>
            <w:tcW w:type="dxa" w:w="2880"/>
          </w:tcPr>
          <w:p>
            <w:r>
              <w:t>hypertension</w:t>
            </w:r>
          </w:p>
        </w:tc>
        <w:tc>
          <w:tcPr>
            <w:tcW w:type="dxa" w:w="2880"/>
          </w:tcPr>
          <w:p>
            <w:r>
              <w:t>I10</w:t>
            </w:r>
          </w:p>
        </w:tc>
        <w:tc>
          <w:tcPr>
            <w:tcW w:type="dxa" w:w="2880"/>
          </w:tcPr>
          <w:p>
            <w:r>
              <w:t>Essential hypertension</w:t>
            </w:r>
          </w:p>
        </w:tc>
      </w:tr>
    </w:tbl>
    <w:p/>
    <w:p>
      <w:pPr>
        <w:pStyle w:val="Heading1"/>
      </w:pPr>
      <w:r>
        <w:rPr>
          <w:color w:val="1A56DB"/>
        </w:rPr>
        <w:t>5. VITAL SIGNS FORECASTING (LSTM + PROPHET + MEWS)</w:t>
      </w:r>
    </w:p>
    <w:p>
      <w:r>
        <w:rPr>
          <w:sz w:val="22"/>
        </w:rPr>
        <w:t>The forecasting module predicts future vital sign values and calculates the Modified Early Warning Score (MEWS) for deterioration risk.</w:t>
      </w:r>
    </w:p>
    <w:p>
      <w:r>
        <w:drawing>
          <wp:inline xmlns:a="http://schemas.openxmlformats.org/drawingml/2006/main" xmlns:pic="http://schemas.openxmlformats.org/drawingml/2006/picture">
            <wp:extent cx="5943600" cy="24354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54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MEWS Score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Alert Level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 Required</w:t>
            </w:r>
          </w:p>
        </w:tc>
      </w:tr>
      <w:tr>
        <w:tc>
          <w:tcPr>
            <w:tcW w:type="dxa" w:w="2880"/>
          </w:tcPr>
          <w:p>
            <w:r>
              <w:t>0-1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Routine monitoring every 12 hours</w:t>
            </w:r>
          </w:p>
        </w:tc>
      </w:tr>
      <w:tr>
        <w:tc>
          <w:tcPr>
            <w:tcW w:type="dxa" w:w="2880"/>
          </w:tcPr>
          <w:p>
            <w:r>
              <w:t>2-3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  <w:tc>
          <w:tcPr>
            <w:tcW w:type="dxa" w:w="2880"/>
          </w:tcPr>
          <w:p>
            <w:r>
              <w:t>Increased monitoring every 4 hours, notify charge nurse</w:t>
            </w:r>
          </w:p>
        </w:tc>
      </w:tr>
      <w:tr>
        <w:tc>
          <w:tcPr>
            <w:tcW w:type="dxa" w:w="2880"/>
          </w:tcPr>
          <w:p>
            <w:r>
              <w:t>4-5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Urgent medical review within 30 minutes</w:t>
            </w:r>
          </w:p>
        </w:tc>
      </w:tr>
      <w:tr>
        <w:tc>
          <w:tcPr>
            <w:tcW w:type="dxa" w:w="2880"/>
          </w:tcPr>
          <w:p>
            <w:r>
              <w:t>6+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IMMEDIATE medical emergency response</w:t>
            </w:r>
          </w:p>
        </w:tc>
      </w:tr>
    </w:tbl>
    <w:p/>
    <w:p>
      <w:pPr>
        <w:pStyle w:val="Heading1"/>
      </w:pPr>
      <w:r>
        <w:rPr>
          <w:color w:val="1A56DB"/>
        </w:rPr>
        <w:t>6. MEDICAL IMAGING AI (CHEST X-RAY)</w:t>
      </w:r>
    </w:p>
    <w:p>
      <w:r>
        <w:rPr>
          <w:sz w:val="22"/>
        </w:rPr>
        <w:t>MediCluster uses 5 pre-trained deep CNN models from TorchXRayVision for chest X-ray pathology detection. The default model (CheXNet) was trained on 224,000 expert-labeled Stanford CheXpert images.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Architecture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Training Data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Input Size</w:t>
            </w:r>
          </w:p>
        </w:tc>
      </w:tr>
      <w:tr>
        <w:tc>
          <w:tcPr>
            <w:tcW w:type="dxa" w:w="2160"/>
          </w:tcPr>
          <w:p>
            <w:r>
              <w:t>densenet121-res224-chex (DEFAULT)</w:t>
            </w:r>
          </w:p>
        </w:tc>
        <w:tc>
          <w:tcPr>
            <w:tcW w:type="dxa" w:w="2160"/>
          </w:tcPr>
          <w:p>
            <w:r>
              <w:t>DenseNet-121</w:t>
            </w:r>
          </w:p>
        </w:tc>
        <w:tc>
          <w:tcPr>
            <w:tcW w:type="dxa" w:w="2160"/>
          </w:tcPr>
          <w:p>
            <w:r>
              <w:t>Stanford CheXpert (224k)</w:t>
            </w:r>
          </w:p>
        </w:tc>
        <w:tc>
          <w:tcPr>
            <w:tcW w:type="dxa" w:w="2160"/>
          </w:tcPr>
          <w:p>
            <w:r>
              <w:t>224x224</w:t>
            </w:r>
          </w:p>
        </w:tc>
      </w:tr>
      <w:tr>
        <w:tc>
          <w:tcPr>
            <w:tcW w:type="dxa" w:w="2160"/>
          </w:tcPr>
          <w:p>
            <w:r>
              <w:t>densenet121-res224-all</w:t>
            </w:r>
          </w:p>
        </w:tc>
        <w:tc>
          <w:tcPr>
            <w:tcW w:type="dxa" w:w="2160"/>
          </w:tcPr>
          <w:p>
            <w:r>
              <w:t>DenseNet-121</w:t>
            </w:r>
          </w:p>
        </w:tc>
        <w:tc>
          <w:tcPr>
            <w:tcW w:type="dxa" w:w="2160"/>
          </w:tcPr>
          <w:p>
            <w:r>
              <w:t>CheXpert+NIH+MIMIC+PadChest</w:t>
            </w:r>
          </w:p>
        </w:tc>
        <w:tc>
          <w:tcPr>
            <w:tcW w:type="dxa" w:w="2160"/>
          </w:tcPr>
          <w:p>
            <w:r>
              <w:t>224x224</w:t>
            </w:r>
          </w:p>
        </w:tc>
      </w:tr>
      <w:tr>
        <w:tc>
          <w:tcPr>
            <w:tcW w:type="dxa" w:w="2160"/>
          </w:tcPr>
          <w:p>
            <w:r>
              <w:t>resnet50-res512-all</w:t>
            </w:r>
          </w:p>
        </w:tc>
        <w:tc>
          <w:tcPr>
            <w:tcW w:type="dxa" w:w="2160"/>
          </w:tcPr>
          <w:p>
            <w:r>
              <w:t>ResNet-50</w:t>
            </w:r>
          </w:p>
        </w:tc>
        <w:tc>
          <w:tcPr>
            <w:tcW w:type="dxa" w:w="2160"/>
          </w:tcPr>
          <w:p>
            <w:r>
              <w:t>All datasets (high-res)</w:t>
            </w:r>
          </w:p>
        </w:tc>
        <w:tc>
          <w:tcPr>
            <w:tcW w:type="dxa" w:w="2160"/>
          </w:tcPr>
          <w:p>
            <w:r>
              <w:t>512x512</w:t>
            </w:r>
          </w:p>
        </w:tc>
      </w:tr>
      <w:tr>
        <w:tc>
          <w:tcPr>
            <w:tcW w:type="dxa" w:w="2160"/>
          </w:tcPr>
          <w:p>
            <w:r>
              <w:t>densenet121-res224-nih</w:t>
            </w:r>
          </w:p>
        </w:tc>
        <w:tc>
          <w:tcPr>
            <w:tcW w:type="dxa" w:w="2160"/>
          </w:tcPr>
          <w:p>
            <w:r>
              <w:t>DenseNet-121</w:t>
            </w:r>
          </w:p>
        </w:tc>
        <w:tc>
          <w:tcPr>
            <w:tcW w:type="dxa" w:w="2160"/>
          </w:tcPr>
          <w:p>
            <w:r>
              <w:t>NIH ChestX-ray14</w:t>
            </w:r>
          </w:p>
        </w:tc>
        <w:tc>
          <w:tcPr>
            <w:tcW w:type="dxa" w:w="2160"/>
          </w:tcPr>
          <w:p>
            <w:r>
              <w:t>224x224</w:t>
            </w:r>
          </w:p>
        </w:tc>
      </w:tr>
      <w:tr>
        <w:tc>
          <w:tcPr>
            <w:tcW w:type="dxa" w:w="2160"/>
          </w:tcPr>
          <w:p>
            <w:r>
              <w:t>densenet121-res224-pc</w:t>
            </w:r>
          </w:p>
        </w:tc>
        <w:tc>
          <w:tcPr>
            <w:tcW w:type="dxa" w:w="2160"/>
          </w:tcPr>
          <w:p>
            <w:r>
              <w:t>DenseNet-121</w:t>
            </w:r>
          </w:p>
        </w:tc>
        <w:tc>
          <w:tcPr>
            <w:tcW w:type="dxa" w:w="2160"/>
          </w:tcPr>
          <w:p>
            <w:r>
              <w:t>PadChest (widest range)</w:t>
            </w:r>
          </w:p>
        </w:tc>
        <w:tc>
          <w:tcPr>
            <w:tcW w:type="dxa" w:w="2160"/>
          </w:tcPr>
          <w:p>
            <w:r>
              <w:t>224x224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4354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54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color w:val="1A56DB"/>
        </w:rPr>
        <w:t>7. SHAP EXPLAINABILITY</w:t>
      </w:r>
    </w:p>
    <w:p>
      <w:r>
        <w:rPr>
          <w:sz w:val="22"/>
        </w:rPr>
        <w:t>SHAP (SHapley Additive exPlanations) explains why each patient was assigned to their cluster. A Ridge regression proxy is trained on cluster labels, then SHAP LinearExplainer computes per-feature contributions.</w:t>
      </w:r>
    </w:p>
    <w:p>
      <w:r>
        <w:drawing>
          <wp:inline xmlns:a="http://schemas.openxmlformats.org/drawingml/2006/main" xmlns:pic="http://schemas.openxmlformats.org/drawingml/2006/picture">
            <wp:extent cx="5943600" cy="243541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54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color w:val="1A56DB"/>
        </w:rPr>
        <w:t>8. ANOMALY DETECTION (ISOLATION FOREST)</w:t>
      </w:r>
    </w:p>
    <w:p>
      <w:r>
        <w:rPr>
          <w:sz w:val="22"/>
        </w:rPr>
        <w:t>Isolation Forest detects statistically unusual patients whose clinical values deviate significantly from the majority. These patients receive a Noise risk tier and are shown in the Anomaly Watchlist.</w:t>
      </w:r>
    </w:p>
    <w:p>
      <w:r>
        <w:drawing>
          <wp:inline xmlns:a="http://schemas.openxmlformats.org/drawingml/2006/main" xmlns:pic="http://schemas.openxmlformats.org/drawingml/2006/picture">
            <wp:extent cx="5029200" cy="40441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441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color w:val="1A56DB"/>
        </w:rPr>
        <w:t>9. AUTOML — OPTIMAL K &amp; FEATURE SELECTION</w:t>
      </w:r>
    </w:p>
    <w:p>
      <w:r>
        <w:rPr>
          <w:sz w:val="22"/>
        </w:rPr>
        <w:t>AutoML features automatically select the best number of clusters and rank features by their clinical discriminative power.</w:t>
      </w:r>
    </w:p>
    <w:p>
      <w:r>
        <w:drawing>
          <wp:inline xmlns:a="http://schemas.openxmlformats.org/drawingml/2006/main" xmlns:pic="http://schemas.openxmlformats.org/drawingml/2006/picture">
            <wp:extent cx="5943600" cy="243541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54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244207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07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color w:val="1A56DB"/>
        </w:rPr>
        <w:t>10. SUPERVISED AUTOML LEADERBOARD</w:t>
      </w:r>
    </w:p>
    <w:p>
      <w:r>
        <w:rPr>
          <w:sz w:val="22"/>
        </w:rPr>
        <w:t>When labelled patient data is available, MediCluster trains three baseline models and returns a ranked leaderboard.</w:t>
      </w:r>
    </w:p>
    <w:p>
      <w:r>
        <w:drawing>
          <wp:inline xmlns:a="http://schemas.openxmlformats.org/drawingml/2006/main" xmlns:pic="http://schemas.openxmlformats.org/drawingml/2006/picture">
            <wp:extent cx="5943600" cy="243207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0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Task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F1 Score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ROC-AUC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Gradient Boosting</w:t>
            </w:r>
          </w:p>
        </w:tc>
        <w:tc>
          <w:tcPr>
            <w:tcW w:type="dxa" w:w="1728"/>
          </w:tcPr>
          <w:p>
            <w:r>
              <w:t>Classification</w:t>
            </w:r>
          </w:p>
        </w:tc>
        <w:tc>
          <w:tcPr>
            <w:tcW w:type="dxa" w:w="1728"/>
          </w:tcPr>
          <w:p>
            <w:r>
              <w:t>0.892</w:t>
            </w:r>
          </w:p>
        </w:tc>
        <w:tc>
          <w:tcPr>
            <w:tcW w:type="dxa" w:w="1728"/>
          </w:tcPr>
          <w:p>
            <w:r>
              <w:t>0.944</w:t>
            </w:r>
          </w:p>
        </w:tc>
        <w:tc>
          <w:tcPr>
            <w:tcW w:type="dxa" w:w="1728"/>
          </w:tcPr>
          <w:p>
            <w:r>
              <w:t>BEST</w:t>
            </w:r>
          </w:p>
        </w:tc>
      </w:tr>
      <w:tr>
        <w:tc>
          <w:tcPr>
            <w:tcW w:type="dxa" w:w="1728"/>
          </w:tcPr>
          <w:p>
            <w:r>
              <w:t>Random Forest</w:t>
            </w:r>
          </w:p>
        </w:tc>
        <w:tc>
          <w:tcPr>
            <w:tcW w:type="dxa" w:w="1728"/>
          </w:tcPr>
          <w:p>
            <w:r>
              <w:t>Classification</w:t>
            </w:r>
          </w:p>
        </w:tc>
        <w:tc>
          <w:tcPr>
            <w:tcW w:type="dxa" w:w="1728"/>
          </w:tcPr>
          <w:p>
            <w:r>
              <w:t>0.871</w:t>
            </w:r>
          </w:p>
        </w:tc>
        <w:tc>
          <w:tcPr>
            <w:tcW w:type="dxa" w:w="1728"/>
          </w:tcPr>
          <w:p>
            <w:r>
              <w:t>0.931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Logistic Regression</w:t>
            </w:r>
          </w:p>
        </w:tc>
        <w:tc>
          <w:tcPr>
            <w:tcW w:type="dxa" w:w="1728"/>
          </w:tcPr>
          <w:p>
            <w:r>
              <w:t>Classification</w:t>
            </w:r>
          </w:p>
        </w:tc>
        <w:tc>
          <w:tcPr>
            <w:tcW w:type="dxa" w:w="1728"/>
          </w:tcPr>
          <w:p>
            <w:r>
              <w:t>0.813</w:t>
            </w:r>
          </w:p>
        </w:tc>
        <w:tc>
          <w:tcPr>
            <w:tcW w:type="dxa" w:w="1728"/>
          </w:tcPr>
          <w:p>
            <w:r>
              <w:t>0.901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Gradient Boosting Reg.</w:t>
            </w:r>
          </w:p>
        </w:tc>
        <w:tc>
          <w:tcPr>
            <w:tcW w:type="dxa" w:w="1728"/>
          </w:tcPr>
          <w:p>
            <w:r>
              <w:t>Regression (LOS)</w:t>
            </w:r>
          </w:p>
        </w:tc>
        <w:tc>
          <w:tcPr>
            <w:tcW w:type="dxa" w:w="1728"/>
          </w:tcPr>
          <w:p>
            <w:r>
              <w:t>R²=0.741</w:t>
            </w:r>
          </w:p>
        </w:tc>
        <w:tc>
          <w:tcPr>
            <w:tcW w:type="dxa" w:w="1728"/>
          </w:tcPr>
          <w:p>
            <w:r>
              <w:t>MAE=1.2d</w:t>
            </w:r>
          </w:p>
        </w:tc>
        <w:tc>
          <w:tcPr>
            <w:tcW w:type="dxa" w:w="1728"/>
          </w:tcPr>
          <w:p>
            <w:r>
              <w:t>BEST</w:t>
            </w:r>
          </w:p>
        </w:tc>
      </w:tr>
      <w:tr>
        <w:tc>
          <w:tcPr>
            <w:tcW w:type="dxa" w:w="1728"/>
          </w:tcPr>
          <w:p>
            <w:r>
              <w:t>Random Forest Reg.</w:t>
            </w:r>
          </w:p>
        </w:tc>
        <w:tc>
          <w:tcPr>
            <w:tcW w:type="dxa" w:w="1728"/>
          </w:tcPr>
          <w:p>
            <w:r>
              <w:t>Regression (LOS)</w:t>
            </w:r>
          </w:p>
        </w:tc>
        <w:tc>
          <w:tcPr>
            <w:tcW w:type="dxa" w:w="1728"/>
          </w:tcPr>
          <w:p>
            <w:r>
              <w:t>R²=0.718</w:t>
            </w:r>
          </w:p>
        </w:tc>
        <w:tc>
          <w:tcPr>
            <w:tcW w:type="dxa" w:w="1728"/>
          </w:tcPr>
          <w:p>
            <w:r>
              <w:t>MAE=1.4d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1"/>
      </w:pPr>
      <w:r>
        <w:rPr>
          <w:color w:val="1A56DB"/>
        </w:rPr>
        <w:t>11. ARCHITECTURE &amp; DATA FLOW DIAGRAMS</w:t>
      </w:r>
    </w:p>
    <w:p>
      <w:r>
        <w:rPr>
          <w:sz w:val="22"/>
        </w:rPr>
        <w:t>The following diagrams illustrate the end-to-end data flow for the core patient clustering and clinical notes analysis pipelines.</w:t>
      </w:r>
    </w:p>
    <w:p>
      <w:r>
        <w:drawing>
          <wp:inline xmlns:a="http://schemas.openxmlformats.org/drawingml/2006/main" xmlns:pic="http://schemas.openxmlformats.org/drawingml/2006/picture">
            <wp:extent cx="5486400" cy="454745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4745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color w:val="1A56DB"/>
        </w:rPr>
        <w:t>12. FRONTEND ARCHITECTURE &amp; PAGES</w:t>
      </w:r>
    </w:p>
    <w:p>
      <w:r>
        <w:rPr>
          <w:sz w:val="22"/>
        </w:rPr>
        <w:t>The MediCluster frontend is a modern React 18 SPA built with Vite, TailwindCSS, and Recharts. It communicates with the backend via REST APIs and features 13 distinct application views.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Page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Primary Function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Components</w:t>
            </w:r>
          </w:p>
        </w:tc>
      </w:tr>
      <w:tr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Data clustering &amp; visualization</w:t>
            </w:r>
          </w:p>
        </w:tc>
        <w:tc>
          <w:tcPr>
            <w:tcW w:type="dxa" w:w="2880"/>
          </w:tcPr>
          <w:p>
            <w:r>
              <w:t>Scatter Plot, Radar Chart, Dendrogram, Patient Table</w:t>
            </w:r>
          </w:p>
        </w:tc>
      </w:tr>
      <w:tr>
        <w:tc>
          <w:tcPr>
            <w:tcW w:type="dxa" w:w="2880"/>
          </w:tcPr>
          <w:p>
            <w:r>
              <w:t>Clinical AI</w:t>
            </w:r>
          </w:p>
        </w:tc>
        <w:tc>
          <w:tcPr>
            <w:tcW w:type="dxa" w:w="2880"/>
          </w:tcPr>
          <w:p>
            <w:r>
              <w:t>NLP notes analysis &amp; risk scoring</w:t>
            </w:r>
          </w:p>
        </w:tc>
        <w:tc>
          <w:tcPr>
            <w:tcW w:type="dxa" w:w="2880"/>
          </w:tcPr>
          <w:p>
            <w:r>
              <w:t>Text Area, Entities Table, Triage Engine, MEWS Calculator</w:t>
            </w:r>
          </w:p>
        </w:tc>
      </w:tr>
      <w:tr>
        <w:tc>
          <w:tcPr>
            <w:tcW w:type="dxa" w:w="2880"/>
          </w:tcPr>
          <w:p>
            <w:r>
              <w:t>Imaging</w:t>
            </w:r>
          </w:p>
        </w:tc>
        <w:tc>
          <w:tcPr>
            <w:tcW w:type="dxa" w:w="2880"/>
          </w:tcPr>
          <w:p>
            <w:r>
              <w:t>Chest X-Ray analysis</w:t>
            </w:r>
          </w:p>
        </w:tc>
        <w:tc>
          <w:tcPr>
            <w:tcW w:type="dxa" w:w="2880"/>
          </w:tcPr>
          <w:p>
            <w:r>
              <w:t>Upload Zone, Findings Cards, Grad-CAM Overlay</w:t>
            </w:r>
          </w:p>
        </w:tc>
      </w:tr>
      <w:tr>
        <w:tc>
          <w:tcPr>
            <w:tcW w:type="dxa" w:w="2880"/>
          </w:tcPr>
          <w:p>
            <w:r>
              <w:t>ML Tools</w:t>
            </w:r>
          </w:p>
        </w:tc>
        <w:tc>
          <w:tcPr>
            <w:tcW w:type="dxa" w:w="2880"/>
          </w:tcPr>
          <w:p>
            <w:r>
              <w:t>AutoML &amp; advanced stats</w:t>
            </w:r>
          </w:p>
        </w:tc>
        <w:tc>
          <w:tcPr>
            <w:tcW w:type="dxa" w:w="2880"/>
          </w:tcPr>
          <w:p>
            <w:r>
              <w:t>Optimal K Finder, Supervised Model Leaderboard</w:t>
            </w:r>
          </w:p>
        </w:tc>
      </w:tr>
      <w:tr>
        <w:tc>
          <w:tcPr>
            <w:tcW w:type="dxa" w:w="2880"/>
          </w:tcPr>
          <w:p>
            <w:r>
              <w:t>Patients</w:t>
            </w:r>
          </w:p>
        </w:tc>
        <w:tc>
          <w:tcPr>
            <w:tcW w:type="dxa" w:w="2880"/>
          </w:tcPr>
          <w:p>
            <w:r>
              <w:t>Patient records management</w:t>
            </w:r>
          </w:p>
        </w:tc>
        <w:tc>
          <w:tcPr>
            <w:tcW w:type="dxa" w:w="2880"/>
          </w:tcPr>
          <w:p>
            <w:r>
              <w:t>Search, Patient History Timeline, Media Viewer</w:t>
            </w:r>
          </w:p>
        </w:tc>
      </w:tr>
      <w:tr>
        <w:tc>
          <w:tcPr>
            <w:tcW w:type="dxa" w:w="2880"/>
          </w:tcPr>
          <w:p>
            <w:r>
              <w:t>Dispatch</w:t>
            </w:r>
          </w:p>
        </w:tc>
        <w:tc>
          <w:tcPr>
            <w:tcW w:type="dxa" w:w="2880"/>
          </w:tcPr>
          <w:p>
            <w:r>
              <w:t>Ambulance &amp; emergency triage</w:t>
            </w:r>
          </w:p>
        </w:tc>
        <w:tc>
          <w:tcPr>
            <w:tcW w:type="dxa" w:w="2880"/>
          </w:tcPr>
          <w:p>
            <w:r>
              <w:t>OSRM Routing Map, Triage Form, Dispatch Queue</w:t>
            </w:r>
          </w:p>
        </w:tc>
      </w:tr>
      <w:tr>
        <w:tc>
          <w:tcPr>
            <w:tcW w:type="dxa" w:w="2880"/>
          </w:tcPr>
          <w:p>
            <w:r>
              <w:t>MCI Board</w:t>
            </w:r>
          </w:p>
        </w:tc>
        <w:tc>
          <w:tcPr>
            <w:tcW w:type="dxa" w:w="2880"/>
          </w:tcPr>
          <w:p>
            <w:r>
              <w:t>Mass Casualty Incident management</w:t>
            </w:r>
          </w:p>
        </w:tc>
        <w:tc>
          <w:tcPr>
            <w:tcW w:type="dxa" w:w="2880"/>
          </w:tcPr>
          <w:p>
            <w:r>
              <w:t>START Triage Grid (Red/Yellow/Green/Black)</w:t>
            </w:r>
          </w:p>
        </w:tc>
      </w:tr>
      <w:tr>
        <w:tc>
          <w:tcPr>
            <w:tcW w:type="dxa" w:w="2880"/>
          </w:tcPr>
          <w:p>
            <w:r>
              <w:t>Ask AI</w:t>
            </w:r>
          </w:p>
        </w:tc>
        <w:tc>
          <w:tcPr>
            <w:tcW w:type="dxa" w:w="2880"/>
          </w:tcPr>
          <w:p>
            <w:r>
              <w:t>Natural language clinical queries</w:t>
            </w:r>
          </w:p>
        </w:tc>
        <w:tc>
          <w:tcPr>
            <w:tcW w:type="dxa" w:w="2880"/>
          </w:tcPr>
          <w:p>
            <w:r>
              <w:t>RAG Chatbot UI, Filter Chips, Matched Patients List</w:t>
            </w:r>
          </w:p>
        </w:tc>
      </w:tr>
      <w:tr>
        <w:tc>
          <w:tcPr>
            <w:tcW w:type="dxa" w:w="2880"/>
          </w:tcPr>
          <w:p>
            <w:r>
              <w:t>Reminders</w:t>
            </w:r>
          </w:p>
        </w:tc>
        <w:tc>
          <w:tcPr>
            <w:tcW w:type="dxa" w:w="2880"/>
          </w:tcPr>
          <w:p>
            <w:r>
              <w:t>Clinical task management</w:t>
            </w:r>
          </w:p>
        </w:tc>
        <w:tc>
          <w:tcPr>
            <w:tcW w:type="dxa" w:w="2880"/>
          </w:tcPr>
          <w:p>
            <w:r>
              <w:t>Calendar View, Priority Flags, Status Toggles</w:t>
            </w:r>
          </w:p>
        </w:tc>
      </w:tr>
    </w:tbl>
    <w:p/>
    <w:p>
      <w:pPr>
        <w:pStyle w:val="Heading1"/>
      </w:pPr>
      <w:r>
        <w:rPr>
          <w:color w:val="1A56DB"/>
        </w:rPr>
        <w:t>13. CONCLUSION</w:t>
      </w:r>
    </w:p>
    <w:p>
      <w:r>
        <w:rPr>
          <w:sz w:val="22"/>
        </w:rPr>
        <w:t>MediCluster delivers a comprehensive, production-grade approach to AI-powered patient health risk segregation. By combining unsupervised machine learning, clinical NLP, deep learning imaging, time-series forecasting, and real-time dispatch coordination into a single unified platform, it addresses the full spectrum of clinical decision support needs.</w:t>
      </w:r>
    </w:p>
    <w:p>
      <w:r>
        <w:rPr>
          <w:sz w:val="22"/>
        </w:rPr>
        <w:t>Key Innovations:</w:t>
      </w:r>
    </w:p>
    <w:p>
      <w:pPr>
        <w:pStyle w:val="ListBullet"/>
      </w:pPr>
      <w:r>
        <w:t>Zero-label risk stratification: Delivers meaningful risk tiers from raw patient data without any pre-labelled training data.</w:t>
      </w:r>
    </w:p>
    <w:p>
      <w:pPr>
        <w:pStyle w:val="ListBullet"/>
      </w:pPr>
      <w:r>
        <w:t>Graceful degradation architecture: Every component has a rule-based fallback if ML libraries are unavailable.</w:t>
      </w:r>
    </w:p>
    <w:p>
      <w:pPr>
        <w:pStyle w:val="ListBullet"/>
      </w:pPr>
      <w:r>
        <w:t>Clinical transparency: Every prediction includes SHAP explanations, confidence scores, and natural-language care plans.</w:t>
      </w:r>
    </w:p>
    <w:p>
      <w:pPr>
        <w:pStyle w:val="ListBullet"/>
      </w:pPr>
      <w:r>
        <w:t>Field alias resolution: Handles diverse EHR column naming conventions automatically.</w:t>
      </w:r>
    </w:p>
    <w:p>
      <w:pPr>
        <w:pStyle w:val="ListBullet"/>
      </w:pPr>
      <w:r>
        <w:t>Integrated emergency ecosystem: Covers the complete workflow from patient risk scoring to ambulance dispatch.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