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Pāṭimokkha: 227 rules, 4 entails automatic expulsion (defeat)</w:t>
      </w:r>
    </w:p>
    <w:p>
      <w:pPr>
        <w:numPr>
          <w:ilvl w:val="0"/>
          <w:numId w:val="1001"/>
        </w:numPr>
        <w:pStyle w:val="Compact"/>
      </w:pPr>
      <w:r>
        <w:t xml:space="preserve">They contain moral principles, sense restraint, situational</w:t>
      </w:r>
      <w:r>
        <w:t xml:space="preserve"> </w:t>
      </w:r>
      <w:r>
        <w:t xml:space="preserve">protocols, etiquette</w:t>
      </w:r>
    </w:p>
    <w:p>
      <w:pPr>
        <w:numPr>
          <w:ilvl w:val="0"/>
          <w:numId w:val="1001"/>
        </w:numPr>
        <w:pStyle w:val="Compact"/>
      </w:pPr>
      <w:r>
        <w:t xml:space="preserve">No physical punishment but procedures, forfeit, confession</w:t>
      </w:r>
    </w:p>
    <w:p>
      <w:pPr>
        <w:numPr>
          <w:ilvl w:val="0"/>
          <w:numId w:val="1001"/>
        </w:numPr>
        <w:pStyle w:val="Compact"/>
      </w:pPr>
      <w:r>
        <w:t xml:space="preserve">The Buddha established the rules one at a time</w:t>
      </w:r>
    </w:p>
    <w:p>
      <w:pPr>
        <w:numPr>
          <w:ilvl w:val="0"/>
          <w:numId w:val="1001"/>
        </w:numPr>
        <w:pStyle w:val="Compact"/>
      </w:pPr>
      <w:r>
        <w:t xml:space="preserve">Dhamma-Vinaya, Teaching and Discipline</w:t>
      </w:r>
    </w:p>
    <w:p>
      <w:pPr>
        <w:numPr>
          <w:ilvl w:val="0"/>
          <w:numId w:val="1001"/>
        </w:numPr>
        <w:pStyle w:val="Compact"/>
      </w:pPr>
      <w:r>
        <w:t xml:space="preserve">Self-motivated: the Vinaya can’t stop evil, it aims to guide virtue</w:t>
      </w:r>
    </w:p>
    <w:p>
      <w:pPr>
        <w:numPr>
          <w:ilvl w:val="0"/>
          <w:numId w:val="1001"/>
        </w:numPr>
        <w:pStyle w:val="Compact"/>
      </w:pPr>
      <w:r>
        <w:t xml:space="preserve">Each rule includes its origin story, amendments and exceptions</w:t>
      </w:r>
    </w:p>
    <w:p>
      <w:pPr>
        <w:numPr>
          <w:ilvl w:val="0"/>
          <w:numId w:val="1001"/>
        </w:numPr>
        <w:pStyle w:val="Compact"/>
      </w:pPr>
      <w:r>
        <w:t xml:space="preserve">5 factors: object, effort, intention, perception, result</w:t>
      </w:r>
    </w:p>
    <w:p>
      <w:pPr>
        <w:numPr>
          <w:ilvl w:val="0"/>
          <w:numId w:val="1001"/>
        </w:numPr>
        <w:pStyle w:val="Compact"/>
      </w:pPr>
      <w:r>
        <w:t xml:space="preserve">Blanket exemptions: insane, possessed by spirits, delirious with</w:t>
      </w:r>
      <w:r>
        <w:t xml:space="preserve"> </w:t>
      </w:r>
      <w:r>
        <w:t xml:space="preserve">pain, the first offender</w:t>
      </w:r>
    </w:p>
    <w:p>
      <w:pPr>
        <w:numPr>
          <w:ilvl w:val="0"/>
          <w:numId w:val="1001"/>
        </w:numPr>
        <w:pStyle w:val="Compact"/>
      </w:pPr>
      <w:r>
        <w:t xml:space="preserve">Common non-offences: unknowingly, unthinkingly, unintentionally</w:t>
      </w:r>
    </w:p>
    <w:p>
      <w:pPr>
        <w:numPr>
          <w:ilvl w:val="0"/>
          <w:numId w:val="1001"/>
        </w:numPr>
        <w:pStyle w:val="Compact"/>
      </w:pPr>
      <w:r>
        <w:t xml:space="preserve">4 Great Standards to judge modern cases</w:t>
      </w:r>
    </w:p>
    <w:p>
      <w:pPr>
        <w:numPr>
          <w:ilvl w:val="0"/>
          <w:numId w:val="1001"/>
        </w:numPr>
        <w:pStyle w:val="Compact"/>
      </w:pPr>
      <w:r>
        <w:t xml:space="preserve">Min. 4 bhikkhus for Sangha actions, decisons and Patimokkha</w:t>
      </w:r>
    </w:p>
    <w:p>
      <w:pPr>
        <w:numPr>
          <w:ilvl w:val="0"/>
          <w:numId w:val="1001"/>
        </w:numPr>
        <w:pStyle w:val="Compact"/>
      </w:pPr>
      <w:r>
        <w:t xml:space="preserve">Min. 5 bhikkhus for ordination and Kathina</w:t>
      </w:r>
    </w:p>
    <w:p>
      <w:pPr>
        <w:numPr>
          <w:ilvl w:val="0"/>
          <w:numId w:val="1001"/>
        </w:numPr>
        <w:pStyle w:val="Compact"/>
      </w:pPr>
      <w:r>
        <w:t xml:space="preserve">Ordination requires min. 5 bhikkhus</w:t>
      </w:r>
    </w:p>
    <w:p>
      <w:pPr>
        <w:numPr>
          <w:ilvl w:val="0"/>
          <w:numId w:val="1001"/>
        </w:numPr>
        <w:pStyle w:val="Compact"/>
      </w:pPr>
      <w:r>
        <w:t xml:space="preserve">Disrobe at free will but follow the correct procedure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Kor wat</w:t>
      </w:r>
      <w:r>
        <w:t xml:space="preserve">’</w:t>
      </w:r>
      <w:r>
        <w:t xml:space="preserve"> </w:t>
      </w:r>
      <w:r>
        <w:t xml:space="preserve">house-rules per monastery</w:t>
      </w:r>
    </w:p>
    <w:p>
      <w:pPr>
        <w:numPr>
          <w:ilvl w:val="0"/>
          <w:numId w:val="1001"/>
        </w:numPr>
        <w:pStyle w:val="Compact"/>
      </w:pPr>
      <w:r>
        <w:t xml:space="preserve">International agreements (Mahathera Samakorn, ECM)</w:t>
      </w:r>
    </w:p>
    <w:p>
      <w:pPr>
        <w:pStyle w:val="FirstParagraph"/>
      </w:pPr>
      <w:r>
        <w:t xml:space="preserve">The ten reasons for the establishing of the Pāṭimokkha:</w:t>
      </w:r>
    </w:p>
    <w:p>
      <w:pPr>
        <w:numPr>
          <w:ilvl w:val="0"/>
          <w:numId w:val="1002"/>
        </w:numPr>
        <w:pStyle w:val="Compact"/>
      </w:pPr>
      <w:r>
        <w:t xml:space="preserve">"For the excellence of the Sangha;</w:t>
      </w:r>
    </w:p>
    <w:p>
      <w:pPr>
        <w:numPr>
          <w:ilvl w:val="0"/>
          <w:numId w:val="1002"/>
        </w:numPr>
        <w:pStyle w:val="Compact"/>
      </w:pPr>
      <w:r>
        <w:t xml:space="preserve">for the wellbeing of the Sangha;</w:t>
      </w:r>
    </w:p>
    <w:p>
      <w:pPr>
        <w:numPr>
          <w:ilvl w:val="0"/>
          <w:numId w:val="1002"/>
        </w:numPr>
        <w:pStyle w:val="Compact"/>
      </w:pPr>
      <w:r>
        <w:t xml:space="preserve">for the control of ill-controlled bhikkhus;</w:t>
      </w:r>
    </w:p>
    <w:p>
      <w:pPr>
        <w:numPr>
          <w:ilvl w:val="0"/>
          <w:numId w:val="1002"/>
        </w:numPr>
        <w:pStyle w:val="Compact"/>
      </w:pPr>
      <w:r>
        <w:t xml:space="preserve">for the comfort of wellbehaved bhikkhus;</w:t>
      </w:r>
    </w:p>
    <w:p>
      <w:pPr>
        <w:numPr>
          <w:ilvl w:val="0"/>
          <w:numId w:val="1002"/>
        </w:numPr>
        <w:pStyle w:val="Compact"/>
      </w:pPr>
      <w:r>
        <w:t xml:space="preserve">for the restraint of the</w:t>
      </w:r>
      <w:r>
        <w:t xml:space="preserve"> </w:t>
      </w:r>
      <w:r>
        <w:rPr>
          <w:iCs/>
          <w:i/>
        </w:rPr>
        <w:t xml:space="preserve">āsavā</w:t>
      </w:r>
      <w:r>
        <w:t xml:space="preserve"> </w:t>
      </w:r>
      <w:r>
        <w:t xml:space="preserve">in this present state;</w:t>
      </w:r>
    </w:p>
    <w:p>
      <w:pPr>
        <w:numPr>
          <w:ilvl w:val="0"/>
          <w:numId w:val="1002"/>
        </w:numPr>
        <w:pStyle w:val="Compact"/>
      </w:pPr>
      <w:r>
        <w:t xml:space="preserve">for protection against the</w:t>
      </w:r>
      <w:r>
        <w:t xml:space="preserve"> </w:t>
      </w:r>
      <w:r>
        <w:rPr>
          <w:iCs/>
          <w:i/>
        </w:rPr>
        <w:t xml:space="preserve">āsavā</w:t>
      </w:r>
      <w:r>
        <w:t xml:space="preserve"> </w:t>
      </w:r>
      <w:r>
        <w:t xml:space="preserve">in a future state;</w:t>
      </w:r>
    </w:p>
    <w:p>
      <w:pPr>
        <w:numPr>
          <w:ilvl w:val="0"/>
          <w:numId w:val="1002"/>
        </w:numPr>
        <w:pStyle w:val="Compact"/>
      </w:pPr>
      <w:r>
        <w:t xml:space="preserve">to give confidence to those of little faith;</w:t>
      </w:r>
    </w:p>
    <w:p>
      <w:pPr>
        <w:numPr>
          <w:ilvl w:val="0"/>
          <w:numId w:val="1002"/>
        </w:numPr>
        <w:pStyle w:val="Compact"/>
      </w:pPr>
      <w:r>
        <w:t xml:space="preserve">to increase the confidence of the faithful;</w:t>
      </w:r>
    </w:p>
    <w:p>
      <w:pPr>
        <w:numPr>
          <w:ilvl w:val="0"/>
          <w:numId w:val="1002"/>
        </w:numPr>
        <w:pStyle w:val="Compact"/>
      </w:pPr>
      <w:r>
        <w:t xml:space="preserve">to establish the True Dhamma;</w:t>
      </w:r>
    </w:p>
    <w:p>
      <w:pPr>
        <w:numPr>
          <w:ilvl w:val="0"/>
          <w:numId w:val="1002"/>
        </w:numPr>
        <w:pStyle w:val="Compact"/>
      </w:pPr>
      <w:r>
        <w:t xml:space="preserve">to support the Vinaya."</w:t>
      </w:r>
    </w:p>
    <w:p>
      <w:pPr>
        <w:pStyle w:val="FirstParagraph"/>
      </w:pPr>
      <w:r>
        <w:t xml:space="preserve">(Vin.III.20; A.V.70)</w:t>
      </w:r>
    </w:p>
    <w:p>
      <w:pPr>
        <w:pStyle w:val="TextBody"/>
      </w:pPr>
      <w:r>
        <w:t xml:space="preserve">Four things not to be done,</w:t>
      </w:r>
      <w:r>
        <w:t xml:space="preserve"> </w:t>
      </w:r>
      <w:r>
        <w:rPr>
          <w:iCs/>
          <w:i/>
        </w:rPr>
        <w:t xml:space="preserve">akaraṇīya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sexual intercourse: as a man with his head cut off cannot live</w:t>
      </w:r>
    </w:p>
    <w:p>
      <w:pPr>
        <w:numPr>
          <w:ilvl w:val="0"/>
          <w:numId w:val="1003"/>
        </w:numPr>
        <w:pStyle w:val="Compact"/>
      </w:pPr>
      <w:r>
        <w:t xml:space="preserve">theft: as a withered leaf separated from its stalk cannot become</w:t>
      </w:r>
      <w:r>
        <w:t xml:space="preserve"> </w:t>
      </w:r>
      <w:r>
        <w:t xml:space="preserve">green again</w:t>
      </w:r>
    </w:p>
    <w:p>
      <w:pPr>
        <w:numPr>
          <w:ilvl w:val="0"/>
          <w:numId w:val="1003"/>
        </w:numPr>
        <w:pStyle w:val="Compact"/>
      </w:pPr>
      <w:r>
        <w:t xml:space="preserve">depriving a human being of life: as a flat stone, broken in half,</w:t>
      </w:r>
      <w:r>
        <w:t xml:space="preserve"> </w:t>
      </w:r>
      <w:r>
        <w:t xml:space="preserve">cannot be put together again</w:t>
      </w:r>
    </w:p>
    <w:p>
      <w:pPr>
        <w:numPr>
          <w:ilvl w:val="0"/>
          <w:numId w:val="1003"/>
        </w:numPr>
        <w:pStyle w:val="Compact"/>
      </w:pPr>
      <w:r>
        <w:t xml:space="preserve">claiming false attainments: as a palm tree, cut off at the crown, is</w:t>
      </w:r>
      <w:r>
        <w:t xml:space="preserve"> </w:t>
      </w:r>
      <w:r>
        <w:t xml:space="preserve">incapable of further growth</w:t>
      </w:r>
    </w:p>
    <w:p>
      <w:pPr>
        <w:pStyle w:val="FirstParagraph"/>
      </w:pPr>
      <w:r>
        <w:t xml:space="preserve">(</w:t>
      </w:r>
      <w:hyperlink r:id="rId20">
        <w:r>
          <w:rPr>
            <w:rStyle w:val="Hyperlink"/>
          </w:rPr>
          <w:t xml:space="preserve">Vin.I.96-97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613400" cy="4233416"/>
            <wp:effectExtent b="0" l="0" r="0" t="0"/>
            <wp:docPr descr="Introduction" title="" id="1" name="Picture"/>
            <a:graphic>
              <a:graphicData uri="http://schemas.openxmlformats.org/drawingml/2006/picture">
                <pic:pic>
                  <pic:nvPicPr>
                    <pic:cNvPr descr="./includes/mindmaps/introdu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3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Introduction</w:t>
      </w:r>
    </w:p>
    <w:p>
      <w:pPr>
        <w:pStyle w:val="Heading2"/>
      </w:pPr>
      <w:r>
        <w:t xml:space="preserve">The Four Great Standards</w:t>
      </w:r>
    </w:p>
    <w:p>
      <w:pPr>
        <w:pStyle w:val="FirstParagraph"/>
      </w:pPr>
      <w:r>
        <w:t xml:space="preserve">Not already prohibited: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it conforms with what is prohibited,</w:t>
      </w:r>
      <w:r>
        <w:br/>
      </w:r>
      <w:r>
        <w:rPr>
          <w:bCs/>
          <w:b/>
        </w:rPr>
        <w:t xml:space="preserve">or</w:t>
      </w:r>
      <w:r>
        <w:t xml:space="preserve"> </w:t>
      </w:r>
      <w:r>
        <w:t xml:space="preserve">it goes against what is allowable,</w:t>
      </w:r>
      <w:r>
        <w:br/>
      </w:r>
      <w:r>
        <w:t xml:space="preserve">that is</w:t>
      </w:r>
      <w:r>
        <w:t xml:space="preserve"> </w:t>
      </w:r>
      <w:r>
        <w:rPr>
          <w:bCs/>
          <w:b/>
        </w:rPr>
        <w:t xml:space="preserve">prohibited</w:t>
      </w:r>
      <w:r>
        <w:t xml:space="preserve">.</w:t>
      </w:r>
    </w:p>
    <w:p>
      <w:pPr>
        <w:pStyle w:val="TextBody"/>
      </w:pPr>
      <w:r>
        <w:t xml:space="preserve">Not already prohibited: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it conforms with what is allowable,</w:t>
      </w:r>
      <w:r>
        <w:br/>
      </w:r>
      <w:r>
        <w:rPr>
          <w:bCs/>
          <w:b/>
        </w:rPr>
        <w:t xml:space="preserve">or</w:t>
      </w:r>
      <w:r>
        <w:t xml:space="preserve"> </w:t>
      </w:r>
      <w:r>
        <w:t xml:space="preserve">it goes against what is prohibited,</w:t>
      </w:r>
      <w:r>
        <w:br/>
      </w:r>
      <w:r>
        <w:t xml:space="preserve">that is</w:t>
      </w:r>
      <w:r>
        <w:t xml:space="preserve"> </w:t>
      </w:r>
      <w:r>
        <w:rPr>
          <w:bCs/>
          <w:b/>
        </w:rPr>
        <w:t xml:space="preserve">allowable</w:t>
      </w:r>
      <w:r>
        <w:t xml:space="preserve">.</w:t>
      </w:r>
    </w:p>
    <w:p>
      <w:pPr>
        <w:pStyle w:val="TextBody"/>
      </w:pPr>
      <w:r>
        <w:t xml:space="preserve">Not already allowed: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it conforms with what is prohibited,</w:t>
      </w:r>
      <w:r>
        <w:br/>
      </w:r>
      <w:r>
        <w:rPr>
          <w:bCs/>
          <w:b/>
        </w:rPr>
        <w:t xml:space="preserve">or</w:t>
      </w:r>
      <w:r>
        <w:t xml:space="preserve"> </w:t>
      </w:r>
      <w:r>
        <w:t xml:space="preserve">it goes against what is allowable,</w:t>
      </w:r>
      <w:r>
        <w:br/>
      </w:r>
      <w:r>
        <w:t xml:space="preserve">that is</w:t>
      </w:r>
      <w:r>
        <w:t xml:space="preserve"> </w:t>
      </w:r>
      <w:r>
        <w:rPr>
          <w:bCs/>
          <w:b/>
        </w:rPr>
        <w:t xml:space="preserve">prohibited</w:t>
      </w:r>
      <w:r>
        <w:t xml:space="preserve">.</w:t>
      </w:r>
    </w:p>
    <w:p>
      <w:pPr>
        <w:pStyle w:val="TextBody"/>
      </w:pPr>
      <w:r>
        <w:t xml:space="preserve">Not already allowed: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it conforms with what is allowable,</w:t>
      </w:r>
      <w:r>
        <w:br/>
      </w:r>
      <w:r>
        <w:rPr>
          <w:bCs/>
          <w:b/>
        </w:rPr>
        <w:t xml:space="preserve">or</w:t>
      </w:r>
      <w:r>
        <w:t xml:space="preserve"> </w:t>
      </w:r>
      <w:r>
        <w:t xml:space="preserve">it goes against what is prohibited,</w:t>
      </w:r>
      <w:r>
        <w:br/>
      </w:r>
      <w:r>
        <w:t xml:space="preserve">that is</w:t>
      </w:r>
      <w:r>
        <w:t xml:space="preserve"> </w:t>
      </w:r>
      <w:r>
        <w:rPr>
          <w:bCs/>
          <w:b/>
        </w:rPr>
        <w:t xml:space="preserve">allowable</w:t>
      </w:r>
      <w:r>
        <w:t xml:space="preserve">.</w:t>
      </w:r>
    </w:p>
    <w:p>
      <w:pPr>
        <w:pStyle w:val="TextBody"/>
      </w:pPr>
      <w:r>
        <w:t xml:space="preserve">(Mv.VI.40.1)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suttacentral.net/pli-tv-kd1/en/horner-brahma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uttacentral.net/pli-tv-kd1/en/horner-brahma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2021-03-12T16:06:40Z</dcterms:created>
  <dcterms:modified xsi:type="dcterms:W3CDTF">2021-03-12T16:06:40Z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