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Sexual Conduct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 1,</w:t>
      </w:r>
      <w:r>
        <w:t xml:space="preserve"> </w:t>
      </w:r>
      <w:r>
        <w:t xml:space="preserve">Sexual intercourse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Sg 1,</w:t>
      </w:r>
      <w:r>
        <w:t xml:space="preserve"> </w:t>
      </w:r>
      <w:r>
        <w:t xml:space="preserve">Intentional emission of semen</w:t>
      </w:r>
    </w:p>
    <w:p>
      <w:pPr>
        <w:pStyle w:val="Heading2"/>
      </w:pPr>
      <w:r>
        <w:t xml:space="preserve">Pr 1, Sexual intercourse</w:t>
      </w:r>
    </w:p>
    <w:p>
      <w:pPr>
        <w:pStyle w:val="CaptionedFigure"/>
      </w:pPr>
      <w:r>
        <w:drawing>
          <wp:inline>
            <wp:extent cx="5613400" cy="2922839"/>
            <wp:effectExtent b="0" l="0" r="0" t="0"/>
            <wp:docPr descr="Pr-1" title="" id="1" name="Picture"/>
            <a:graphic>
              <a:graphicData uri="http://schemas.openxmlformats.org/drawingml/2006/picture">
                <pic:pic>
                  <pic:nvPicPr>
                    <pic:cNvPr descr="./includes/mindmaps/p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92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Pr-1</w:t>
      </w:r>
    </w:p>
    <w:p>
      <w:pPr>
        <w:pStyle w:val="Compact"/>
        <w:numPr>
          <w:numId w:val="1002"/>
          <w:ilvl w:val="0"/>
        </w:numPr>
      </w:pPr>
      <w:r>
        <w:t xml:space="preserve">"… For</w:t>
      </w:r>
      <w:r>
        <w:t xml:space="preserve"> </w:t>
      </w:r>
      <w:r>
        <w:rPr>
          <w:i/>
        </w:rPr>
        <w:t xml:space="preserve">that</w:t>
      </w:r>
      <w:r>
        <w:t xml:space="preserve"> </w:t>
      </w:r>
      <w:r>
        <w:t xml:space="preserve">action you would only suffer death, for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action you will suffer in hell.</w:t>
      </w:r>
    </w:p>
    <w:p>
      <w:pPr>
        <w:pStyle w:val="Compact"/>
        <w:numPr>
          <w:numId w:val="1002"/>
          <w:ilvl w:val="0"/>
        </w:numPr>
      </w:pPr>
      <w:r>
        <w:t xml:space="preserve">As a man with his head cut off cannot become one to live again.</w:t>
      </w:r>
    </w:p>
    <w:p>
      <w:pPr>
        <w:pStyle w:val="Compact"/>
        <w:numPr>
          <w:numId w:val="1002"/>
          <w:ilvl w:val="0"/>
        </w:numPr>
      </w:pPr>
      <w:r>
        <w:t xml:space="preserve">As a withered leaf separated from its stem cannot be joined again.</w:t>
      </w:r>
    </w:p>
    <w:p>
      <w:pPr>
        <w:pStyle w:val="Compact"/>
        <w:numPr>
          <w:numId w:val="1002"/>
          <w:ilvl w:val="0"/>
        </w:numPr>
      </w:pPr>
      <w:r>
        <w:t xml:space="preserve">As a flat stone that has been broken in half cannot be put together again.</w:t>
      </w:r>
    </w:p>
    <w:p>
      <w:pPr>
        <w:pStyle w:val="Compact"/>
        <w:numPr>
          <w:numId w:val="1002"/>
          <w:ilvl w:val="0"/>
        </w:numPr>
      </w:pPr>
      <w:r>
        <w:t xml:space="preserve">As a palmyra tree cut off at the crown is incapable of further growth."</w:t>
      </w:r>
    </w:p>
    <w:p>
      <w:pPr>
        <w:pStyle w:val="Heading2"/>
      </w:pPr>
      <w:r>
        <w:t xml:space="preserve">Sg 1, Intentional emission of semen</w:t>
      </w:r>
    </w:p>
    <w:p>
      <w:pPr>
        <w:pStyle w:val="CaptionedFigure"/>
      </w:pPr>
      <w:r>
        <w:drawing>
          <wp:inline>
            <wp:extent cx="5613400" cy="3394226"/>
            <wp:effectExtent b="0" l="0" r="0" t="0"/>
            <wp:docPr descr="Sg-1" title="" id="1" name="Picture"/>
            <a:graphic>
              <a:graphicData uri="http://schemas.openxmlformats.org/drawingml/2006/picture">
                <pic:pic>
                  <pic:nvPicPr>
                    <pic:cNvPr descr="./includes/mindmaps/s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394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Sg-1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with the same hand you use to eat the gifts of the faithful</w:t>
      </w:r>
      <w:r>
        <w:t xml:space="preserve">”</w:t>
      </w:r>
    </w:p>
    <w:p>
      <w:pPr>
        <w:pStyle w:val="Compact"/>
        <w:numPr>
          <w:numId w:val="1003"/>
          <w:ilvl w:val="0"/>
        </w:numPr>
      </w:pPr>
      <w:r>
        <w:t xml:space="preserve">trust and good will of the supporters, social contract</w:t>
      </w:r>
    </w:p>
    <w:p>
      <w:pPr>
        <w:pStyle w:val="FirstParagraph"/>
      </w:pPr>
      <w:r>
        <w:t xml:space="preserve">Result is fulfiled when the semen enters the urinary tract, since at that point</w:t>
      </w:r>
      <w:r>
        <w:t xml:space="preserve"> </w:t>
      </w:r>
      <w:r>
        <w:t xml:space="preserve">the process is irreversible, even when semen was not emitted, being blocked in</w:t>
      </w:r>
      <w:r>
        <w:t xml:space="preserve"> </w:t>
      </w:r>
      <w:r>
        <w:t xml:space="preserve">some way.</w:t>
      </w:r>
    </w:p>
    <w:p>
      <w:pPr>
        <w:pStyle w:val="Heading3"/>
      </w:pPr>
      <w:r>
        <w:t xml:space="preserve">Probation and Penance</w:t>
      </w:r>
    </w:p>
    <w:p>
      <w:pPr>
        <w:pStyle w:val="FirstParagraph"/>
      </w:pPr>
      <w:r>
        <w:drawing>
          <wp:inline>
            <wp:extent cx="5613400" cy="2525740"/>
            <wp:effectExtent b="0" l="0" r="0" t="0"/>
            <wp:docPr descr="Sanghadisesa procedure" title="" id="1" name="Picture"/>
            <a:graphic>
              <a:graphicData uri="http://schemas.openxmlformats.org/drawingml/2006/picture">
                <pic:pic>
                  <pic:nvPicPr>
                    <pic:cNvPr descr="./includes/figures/sanghadisesa-proced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2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TextBody"/>
      </w:pPr>
      <w:r>
        <w:rPr>
          <w:i/>
        </w:rPr>
        <w:t xml:space="preserve">(Figure: Overview of the procedure after a Sanghadisesa offence, comparing the</w:t>
      </w:r>
      <w:r>
        <w:rPr>
          <w:i/>
        </w:rPr>
        <w:t xml:space="preserve"> </w:t>
      </w:r>
      <w:r>
        <w:rPr>
          <w:i/>
        </w:rPr>
        <w:t xml:space="preserve">case of immediately informing and concealing.)</w:t>
      </w:r>
    </w:p>
    <w:p>
      <w:pPr>
        <w:pStyle w:val="TextBody"/>
      </w:pPr>
      <w:r>
        <w:t xml:space="preserve">One doesn’t have to wait until one is certain about the offence, speaking to</w:t>
      </w:r>
      <w:r>
        <w:t xml:space="preserve"> </w:t>
      </w:r>
      <w:r>
        <w:t xml:space="preserve">another bhikkhu about a doubtful situation will at least clear one’s conscience</w:t>
      </w:r>
      <w:r>
        <w:t xml:space="preserve"> </w:t>
      </w:r>
      <w:r>
        <w:t xml:space="preserve">that one is not concealing it.</w:t>
      </w:r>
    </w:p>
    <w:p>
      <w:pPr>
        <w:pStyle w:val="TextBody"/>
      </w:pPr>
      <w:r>
        <w:t xml:space="preserve">A bhikkhu who comitted a sanghadisesa must inform another bhikkhu as</w:t>
      </w:r>
      <w:r>
        <w:t xml:space="preserve"> </w:t>
      </w:r>
      <w:r>
        <w:t xml:space="preserve">soon as possible, but at most until the next dawnrise. The Sangha must</w:t>
      </w:r>
      <w:r>
        <w:t xml:space="preserve"> </w:t>
      </w:r>
      <w:r>
        <w:t xml:space="preserve">meet and at his request, allow a six-dawn period of penance (</w:t>
      </w:r>
      <w:r>
        <w:rPr>
          <w:i/>
        </w:rPr>
        <w:t xml:space="preserve">mānatta</w:t>
      </w:r>
      <w:r>
        <w:t xml:space="preserve">).</w:t>
      </w:r>
      <w:r>
        <w:t xml:space="preserve"> </w:t>
      </w:r>
      <w:r>
        <w:t xml:space="preserve">If he concealed the offence, a probation period (</w:t>
      </w:r>
      <w:r>
        <w:rPr>
          <w:i/>
        </w:rPr>
        <w:t xml:space="preserve">parivāsa</w:t>
      </w:r>
      <w:r>
        <w:t xml:space="preserve">) is required</w:t>
      </w:r>
      <w:r>
        <w:t xml:space="preserve"> </w:t>
      </w:r>
      <w:r>
        <w:t xml:space="preserve">beforehand.</w:t>
      </w:r>
    </w:p>
    <w:p>
      <w:pPr>
        <w:pStyle w:val="TextBody"/>
      </w:pPr>
      <w:r>
        <w:t xml:space="preserve">The Sangha will determine when and where the bhikkhu should observe the</w:t>
      </w:r>
      <w:r>
        <w:t xml:space="preserve"> </w:t>
      </w:r>
      <w:r>
        <w:rPr>
          <w:i/>
        </w:rPr>
        <w:t xml:space="preserve">parivāsa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mānatta</w:t>
      </w:r>
      <w:r>
        <w:t xml:space="preserve">. These periods are determined by the Sangha and don’t</w:t>
      </w:r>
      <w:r>
        <w:t xml:space="preserve"> </w:t>
      </w:r>
      <w:r>
        <w:t xml:space="preserve">have to occur back-to-back.</w:t>
      </w:r>
    </w:p>
    <w:p>
      <w:pPr>
        <w:pStyle w:val="TextBody"/>
      </w:pPr>
      <w:r>
        <w:t xml:space="preserve">After completing</w:t>
      </w:r>
      <w:r>
        <w:t xml:space="preserve"> </w:t>
      </w:r>
      <w:r>
        <w:rPr>
          <w:i/>
        </w:rPr>
        <w:t xml:space="preserve">mānatta</w:t>
      </w:r>
      <w:r>
        <w:t xml:space="preserve"> </w:t>
      </w:r>
      <w:r>
        <w:t xml:space="preserve">he can only be rehabilitated as a bhikkhu in regular</w:t>
      </w:r>
      <w:r>
        <w:t xml:space="preserve"> </w:t>
      </w:r>
      <w:r>
        <w:t xml:space="preserve">standing by a community meeting of at least 20 bhikkhus. He is not required to</w:t>
      </w:r>
      <w:r>
        <w:t xml:space="preserve"> </w:t>
      </w:r>
      <w:r>
        <w:t xml:space="preserve">stay at that particular monaster after having received rehabilitation.</w:t>
      </w:r>
    </w:p>
    <w:p>
      <w:pPr>
        <w:pStyle w:val="TextBody"/>
      </w:pPr>
      <w:r>
        <w:t xml:space="preserve">If he commits another sanghadisesa before rehabilitation, he must inform a</w:t>
      </w:r>
      <w:r>
        <w:t xml:space="preserve"> </w:t>
      </w:r>
      <w:r>
        <w:t xml:space="preserve">bhikkhu and ask a Sangha of at least four to</w:t>
      </w:r>
      <w:r>
        <w:t xml:space="preserve"> </w:t>
      </w:r>
      <w:r>
        <w:t xml:space="preserve">‘</w:t>
      </w:r>
      <w:r>
        <w:t xml:space="preserve">send him back to the beginning.</w:t>
      </w:r>
      <w:r>
        <w:t xml:space="preserve">’</w:t>
      </w:r>
    </w:p>
    <w:p>
      <w:pPr>
        <w:pStyle w:val="TextBody"/>
      </w:pPr>
      <w:r>
        <w:t xml:space="preserve">There is allowance to interrupt and set aside the penance or probation for a</w:t>
      </w:r>
      <w:r>
        <w:t xml:space="preserve"> </w:t>
      </w:r>
      <w:r>
        <w:t xml:space="preserve">period of time, for example when many visiting monks are expected to arrive at</w:t>
      </w:r>
      <w:r>
        <w:t xml:space="preserve"> </w:t>
      </w:r>
      <w:r>
        <w:t xml:space="preserve">the monastery for an event.</w:t>
      </w:r>
    </w:p>
    <w:p>
      <w:pPr>
        <w:pStyle w:val="TextBody"/>
      </w:pPr>
      <w:r>
        <w:t xml:space="preserve">Characteristic duties during penance:</w:t>
      </w:r>
    </w:p>
    <w:p>
      <w:pPr>
        <w:pStyle w:val="Compact"/>
        <w:numPr>
          <w:numId w:val="1004"/>
          <w:ilvl w:val="0"/>
        </w:numPr>
      </w:pPr>
      <w:r>
        <w:t xml:space="preserve">not receiving duties of respect from other bhikkhus</w:t>
      </w:r>
    </w:p>
    <w:p>
      <w:pPr>
        <w:pStyle w:val="Compact"/>
        <w:numPr>
          <w:numId w:val="1004"/>
          <w:ilvl w:val="0"/>
        </w:numPr>
      </w:pPr>
      <w:r>
        <w:t xml:space="preserve">inform visiting bhikkhus that he is undergoing penance</w:t>
      </w:r>
    </w:p>
    <w:p>
      <w:pPr>
        <w:pStyle w:val="Compact"/>
        <w:numPr>
          <w:numId w:val="1004"/>
          <w:ilvl w:val="0"/>
        </w:numPr>
      </w:pPr>
      <w:r>
        <w:t xml:space="preserve">every day, notify every bhikkhu in the monastery of his offence</w:t>
      </w:r>
    </w:p>
    <w:p>
      <w:pPr>
        <w:pStyle w:val="Compact"/>
        <w:numPr>
          <w:numId w:val="1004"/>
          <w:ilvl w:val="0"/>
        </w:numPr>
      </w:pPr>
      <w:r>
        <w:t xml:space="preserve">stay under a separate roof than the other bhikkhus</w:t>
      </w:r>
    </w:p>
    <w:p>
      <w:pPr>
        <w:pStyle w:val="Compact"/>
        <w:numPr>
          <w:numId w:val="1004"/>
          <w:ilvl w:val="0"/>
        </w:numPr>
      </w:pPr>
      <w:r>
        <w:t xml:space="preserve">only leave the monastery when accompanied by four other bhikkhus</w:t>
      </w:r>
    </w:p>
    <w:p>
      <w:pPr>
        <w:pStyle w:val="FirstParagraph"/>
      </w:pPr>
      <w:r>
        <w:t xml:space="preserve">The duties during probation are the same as during penance, except:</w:t>
      </w:r>
    </w:p>
    <w:p>
      <w:pPr>
        <w:pStyle w:val="Compact"/>
        <w:numPr>
          <w:numId w:val="1005"/>
          <w:ilvl w:val="0"/>
        </w:numPr>
      </w:pPr>
      <w:r>
        <w:t xml:space="preserve">inform the Sangha of his offence every fortnight, not every day</w:t>
      </w:r>
    </w:p>
    <w:p>
      <w:pPr>
        <w:pStyle w:val="Compact"/>
        <w:numPr>
          <w:numId w:val="1005"/>
          <w:ilvl w:val="0"/>
        </w:numPr>
      </w:pPr>
      <w:r>
        <w:t xml:space="preserve">only leave the monastery when accompanied by a single other bhikkhu</w:t>
      </w:r>
    </w:p>
    <w:p>
      <w:pPr>
        <w:pStyle w:val="Heading3"/>
      </w:pPr>
      <w:r>
        <w:t xml:space="preserve">Sensual thoughts</w:t>
      </w:r>
    </w:p>
    <w:p>
      <w:pPr>
        <w:pStyle w:val="FirstParagraph"/>
      </w:pPr>
      <w:r>
        <w:t xml:space="preserve">Sensual thoughts are not designated a penalty, but they grow quickly and lead to</w:t>
      </w:r>
      <w:r>
        <w:t xml:space="preserve"> </w:t>
      </w:r>
      <w:r>
        <w:t xml:space="preserve">one’s downfall.</w:t>
      </w:r>
    </w:p>
    <w:p>
      <w:pPr>
        <w:pStyle w:val="BlockText"/>
      </w:pPr>
      <w:r>
        <w:t xml:space="preserve">The thought occurred to the deva living in the sala tree …</w:t>
      </w:r>
      <w:r>
        <w:t xml:space="preserve"> </w:t>
      </w:r>
      <w:r>
        <w:t xml:space="preserve">“</w:t>
      </w:r>
      <w:r>
        <w:t xml:space="preserve">It’s pleasant,</w:t>
      </w:r>
      <w:r>
        <w:t xml:space="preserve"> </w:t>
      </w:r>
      <w:r>
        <w:t xml:space="preserve">the touch of this maluva creeper’s soft, tender, downy tendril.</w:t>
      </w:r>
      <w:r>
        <w:t xml:space="preserve">”</w:t>
      </w:r>
      <w:r>
        <w:t xml:space="preserve"> </w:t>
      </w:r>
      <w:r>
        <w:t xml:space="preserve">(MN 45)</w:t>
      </w:r>
    </w:p>
    <w:p>
      <w:pPr>
        <w:pStyle w:val="FirstParagraph"/>
      </w:pPr>
      <w:r>
        <w:t xml:space="preserve">When reconizing that one has been caught up in a sensual fantasy, immediately</w:t>
      </w:r>
      <w:r>
        <w:t xml:space="preserve"> </w:t>
      </w:r>
      <w:r>
        <w:t xml:space="preserve">visualizing</w:t>
      </w:r>
      <w:r>
        <w:t xml:space="preserve"> </w:t>
      </w:r>
      <w:r>
        <w:rPr>
          <w:i/>
        </w:rPr>
        <w:t xml:space="preserve">asubha</w:t>
      </w:r>
      <w:r>
        <w:t xml:space="preserve"> </w:t>
      </w:r>
      <w:r>
        <w:t xml:space="preserve">of the body can break up the lustful mental state.</w:t>
      </w:r>
    </w:p>
    <w:p>
      <w:pPr>
        <w:pStyle w:val="TextBody"/>
      </w:pPr>
      <w:r>
        <w:t xml:space="preserve">Repeatedly training to notice the signs of</w:t>
      </w:r>
      <w:r>
        <w:t xml:space="preserve"> </w:t>
      </w:r>
      <w:r>
        <w:rPr>
          <w:i/>
        </w:rPr>
        <w:t xml:space="preserve">asubha</w:t>
      </w:r>
      <w:r>
        <w:t xml:space="preserve"> </w:t>
      </w:r>
      <w:r>
        <w:t xml:space="preserve">changes the unconscious</w:t>
      </w:r>
      <w:r>
        <w:t xml:space="preserve"> </w:t>
      </w:r>
      <w:r>
        <w:t xml:space="preserve">habits of the dreaming mind as well.</w:t>
      </w:r>
    </w:p>
    <w:p>
      <w:pPr>
        <w:pStyle w:val="BlockText"/>
      </w:pPr>
      <w:r>
        <w:t xml:space="preserve">Monks, if a sensual thought, a thought of ill-will, or a thought of harming</w:t>
      </w:r>
      <w:r>
        <w:t xml:space="preserve"> </w:t>
      </w:r>
      <w:r>
        <w:t xml:space="preserve">arises in a monk while walking, standing, sitting or lying down, and he</w:t>
      </w:r>
      <w:r>
        <w:t xml:space="preserve"> </w:t>
      </w:r>
      <w:r>
        <w:t xml:space="preserve">tolerates it, does not abandon it, dispel it, terminate it, and obliterate it,</w:t>
      </w:r>
      <w:r>
        <w:t xml:space="preserve"> </w:t>
      </w:r>
      <w:r>
        <w:t xml:space="preserve">then that monk is said to be devoid of ardour and wise fear of consequences;</w:t>
      </w:r>
      <w:r>
        <w:t xml:space="preserve"> </w:t>
      </w:r>
      <w:r>
        <w:t xml:space="preserve">he is constantly and continuously lazy and lacking in energy while walking,</w:t>
      </w:r>
      <w:r>
        <w:t xml:space="preserve"> </w:t>
      </w:r>
      <w:r>
        <w:t xml:space="preserve">standing, sitting or lying down. (AN 4.11)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2019-08-17T11:37:03Z</dcterms:created>
  <dcterms:modified xsi:type="dcterms:W3CDTF">2019-08-17T11:37:03Z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