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Profiles</w:t>
      </w:r>
    </w:p>
    <w:p>
      <w:pPr>
        <w:pStyle w:val="Heading2"/>
      </w:pPr>
      <w:r>
        <w:t xml:space="preserve">Ven. Anuruddha</w:t>
      </w:r>
    </w:p>
    <w:p>
      <w:pPr>
        <w:pStyle w:val="FirstParagraph"/>
      </w:pPr>
      <w:hyperlink r:id="rId20">
        <w:r>
          <w:rPr>
            <w:rStyle w:val="Hyperlink"/>
          </w:rPr>
          <w:t xml:space="preserve">DPPN, Anuruddha</w:t>
        </w:r>
      </w:hyperlink>
    </w:p>
    <w:p>
      <w:pPr>
        <w:pStyle w:val="Heading2"/>
      </w:pPr>
      <w:r>
        <w:t xml:space="preserve">Chabbaggiya, the group of six</w:t>
      </w:r>
    </w:p>
    <w:p>
      <w:pPr>
        <w:pStyle w:val="FirstParagraph"/>
      </w:pPr>
      <w:hyperlink r:id="rId21">
        <w:r>
          <w:rPr>
            <w:rStyle w:val="Hyperlink"/>
          </w:rPr>
          <w:t xml:space="preserve">DPPN, Chabbaggiya</w:t>
        </w:r>
      </w:hyperlink>
    </w:p>
    <w:p>
      <w:pPr>
        <w:pStyle w:val="TextBody"/>
      </w:pPr>
      <w:hyperlink r:id="rId22">
        <w:r>
          <w:rPr>
            <w:rStyle w:val="Hyperlink"/>
          </w:rPr>
          <w:t xml:space="preserve">Wheel 263</w:t>
        </w:r>
      </w:hyperlink>
    </w:p>
    <w:p>
      <w:pPr>
        <w:pStyle w:val="Heading2"/>
      </w:pPr>
      <w:r>
        <w:t xml:space="preserve">Ven. Udayin</w:t>
      </w:r>
    </w:p>
    <w:p>
      <w:pPr>
        <w:pStyle w:val="FirstParagraph"/>
      </w:pPr>
      <w:hyperlink r:id="rId23">
        <w:r>
          <w:rPr>
            <w:rStyle w:val="Hyperlink"/>
          </w:rPr>
          <w:t xml:space="preserve">DPPN, Udāyī</w:t>
        </w:r>
      </w:hyperlink>
    </w:p>
    <w:p>
      <w:pPr>
        <w:pStyle w:val="TextBody"/>
      </w:pPr>
      <w:hyperlink r:id="rId24">
        <w:r>
          <w:rPr>
            <w:rStyle w:val="Hyperlink"/>
          </w:rPr>
          <w:t xml:space="preserve">DPPN, Lāludāyī Thera</w:t>
        </w:r>
      </w:hyperlink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hat-buddha-said.net/library/DPPN/ay/anuruddha.htm" TargetMode="External" /><Relationship Type="http://schemas.openxmlformats.org/officeDocument/2006/relationships/hyperlink" Id="rId21" Target="https://what-buddha-said.net/library/DPPN/c/chabbaggiyaa.htm" TargetMode="External" /><Relationship Type="http://schemas.openxmlformats.org/officeDocument/2006/relationships/hyperlink" Id="rId24" Target="https://what-buddha-said.net/library/DPPN/l/laludayi_th.htm" TargetMode="External" /><Relationship Type="http://schemas.openxmlformats.org/officeDocument/2006/relationships/hyperlink" Id="rId23" Target="https://what-buddha-said.net/library/DPPN/u/udaayii.htm" TargetMode="External" /><Relationship Type="http://schemas.openxmlformats.org/officeDocument/2006/relationships/hyperlink" Id="rId22" Target="https://what-buddha-said.net/library/ati_website/html/lib/authors/hecker/wheel26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hat-buddha-said.net/library/DPPN/ay/anuruddha.htm" TargetMode="External" /><Relationship Type="http://schemas.openxmlformats.org/officeDocument/2006/relationships/hyperlink" Id="rId21" Target="https://what-buddha-said.net/library/DPPN/c/chabbaggiyaa.htm" TargetMode="External" /><Relationship Type="http://schemas.openxmlformats.org/officeDocument/2006/relationships/hyperlink" Id="rId24" Target="https://what-buddha-said.net/library/DPPN/l/laludayi_th.htm" TargetMode="External" /><Relationship Type="http://schemas.openxmlformats.org/officeDocument/2006/relationships/hyperlink" Id="rId23" Target="https://what-buddha-said.net/library/DPPN/u/udaayii.htm" TargetMode="External" /><Relationship Type="http://schemas.openxmlformats.org/officeDocument/2006/relationships/hyperlink" Id="rId22" Target="https://what-buddha-said.net/library/ati_website/html/lib/authors/hecker/wheel2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