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0"/>
      </w:pPr>
      <w:r>
        <w:rPr>
          <w:b/>
          <w:color w:val="4B72C8"/>
          <w:sz w:val="18"/>
        </w:rPr>
        <w:t>MACHINE LEARNING  /  2026</w:t>
      </w:r>
    </w:p>
    <w:p>
      <w:pPr>
        <w:pStyle w:val="Title"/>
        <w:spacing w:after="40"/>
      </w:pPr>
      <w:r>
        <w:t>Handwritten Digit</w:t>
        <w:br/>
        <w:t>Recognition</w:t>
      </w:r>
    </w:p>
    <w:p>
      <w:pPr>
        <w:spacing w:after="160"/>
      </w:pPr>
      <w:r>
        <w:rPr>
          <w:i/>
          <w:color w:val="667085"/>
          <w:sz w:val="24"/>
        </w:rPr>
        <w:t>A simple project report for Digit Studio</w:t>
      </w:r>
    </w:p>
    <w:tbl>
      <w:tblPr>
        <w:tblW w:type="auto" w:w="0"/>
        <w:jc w:val="left"/>
        <w:tblLayout w:type="fixed"/>
        <w:tblLook w:firstColumn="1" w:firstRow="1" w:lastColumn="0" w:lastRow="0" w:noHBand="0" w:noVBand="1" w:val="04A0"/>
      </w:tblPr>
      <w:tblGrid>
        <w:gridCol w:w="4608"/>
        <w:gridCol w:w="4608"/>
      </w:tblGrid>
      <w:tr>
        <w:tc>
          <w:tcPr>
            <w:tcW w:type="dxa" w:w="5083"/>
            <w:vAlign w:val="center"/>
          </w:tcPr>
          <w:p>
            <w:pPr>
              <w:spacing w:after="20"/>
            </w:pPr>
            <w:r/>
            <w:r>
              <w:rPr>
                <w:rFonts w:ascii="Aptos" w:hAnsi="Aptos"/>
                <w:b w:val="0"/>
                <w:color w:val="30394A"/>
                <w:sz w:val="18"/>
              </w:rPr>
              <w:t>Student: __________________________</w:t>
            </w:r>
          </w:p>
        </w:tc>
        <w:tc>
          <w:tcPr>
            <w:tcW w:type="dxa" w:w="5083"/>
            <w:vAlign w:val="center"/>
          </w:tcPr>
          <w:p>
            <w:pPr>
              <w:spacing w:after="20"/>
            </w:pPr>
            <w:r/>
            <w:r>
              <w:rPr>
                <w:rFonts w:ascii="Aptos" w:hAnsi="Aptos"/>
                <w:b w:val="0"/>
                <w:color w:val="30394A"/>
                <w:sz w:val="18"/>
              </w:rPr>
              <w:t>Class: ____________________________</w:t>
            </w:r>
          </w:p>
        </w:tc>
      </w:tr>
    </w:tbl>
    <w:p>
      <w:pPr>
        <w:pStyle w:val="Heading1"/>
      </w:pPr>
      <w:r>
        <w:t>1. About the project</w:t>
      </w:r>
    </w:p>
    <w:p>
      <w:r>
        <w:t>Digit Studio is a website that recognizes handwritten numbers. A user draws a digit from 0 to 9, and a machine-learning model predicts which digit it is.</w:t>
      </w:r>
    </w:p>
    <w:p>
      <w:pPr>
        <w:pStyle w:val="Heading1"/>
      </w:pPr>
      <w:r>
        <w:t>2. How it works</w:t>
      </w:r>
    </w:p>
    <w:p>
      <w:pPr>
        <w:pStyle w:val="ListBullet"/>
        <w:spacing w:after="40"/>
      </w:pPr>
      <w:r>
        <w:t>The user draws on the website canvas.</w:t>
      </w:r>
    </w:p>
    <w:p>
      <w:pPr>
        <w:pStyle w:val="ListBullet"/>
        <w:spacing w:after="40"/>
      </w:pPr>
      <w:r>
        <w:t>The app cleans and resizes the image to 8 ? 8 pixels.</w:t>
      </w:r>
    </w:p>
    <w:p>
      <w:pPr>
        <w:pStyle w:val="ListBullet"/>
        <w:spacing w:after="40"/>
      </w:pPr>
      <w:r>
        <w:t>The selected model predicts the digit and shows its scores.</w:t>
      </w:r>
    </w:p>
    <w:p>
      <w:pPr>
        <w:pStyle w:val="ListBullet"/>
        <w:spacing w:after="40"/>
      </w:pPr>
      <w:r>
        <w:t>The page also shows charts that explain model results.</w:t>
      </w:r>
    </w:p>
    <w:p>
      <w:pPr>
        <w:pStyle w:val="Heading1"/>
      </w:pPr>
      <w:r>
        <w:t>3. Data and models</w:t>
      </w:r>
    </w:p>
    <w:p>
      <w:r>
        <w:t>The project uses scikit-learn?s digits dataset. It contains 1,797 small images of handwritten digits. The data was split into training and test sets. Training images were also varied slightly in stroke thickness, size, and position to help the models handle different drawings.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34477D"/>
          </w:tcPr>
          <w:p>
            <w:pPr>
              <w:spacing w:after="20"/>
            </w:pPr>
            <w:r/>
            <w:r>
              <w:rPr>
                <w:rFonts w:ascii="Aptos" w:hAnsi="Aptos"/>
                <w:b/>
                <w:color w:val="FFFFFF"/>
                <w:sz w:val="18"/>
              </w:rPr>
              <w:t>Model</w:t>
            </w:r>
          </w:p>
        </w:tc>
        <w:tc>
          <w:tcPr>
            <w:tcW w:type="dxa" w:w="3389"/>
            <w:vAlign w:val="center"/>
            <w:shd w:fill="34477D"/>
          </w:tcPr>
          <w:p>
            <w:pPr>
              <w:spacing w:after="20"/>
            </w:pPr>
            <w:r/>
            <w:r>
              <w:rPr>
                <w:rFonts w:ascii="Aptos" w:hAnsi="Aptos"/>
                <w:b/>
                <w:color w:val="FFFFFF"/>
                <w:sz w:val="18"/>
              </w:rPr>
              <w:t>Test accuracy</w:t>
            </w:r>
          </w:p>
        </w:tc>
        <w:tc>
          <w:tcPr>
            <w:tcW w:type="dxa" w:w="3389"/>
            <w:vAlign w:val="center"/>
            <w:shd w:fill="34477D"/>
          </w:tcPr>
          <w:p>
            <w:pPr>
              <w:spacing w:after="20"/>
            </w:pPr>
            <w:r/>
            <w:r>
              <w:rPr>
                <w:rFonts w:ascii="Aptos" w:hAnsi="Aptos"/>
                <w:b/>
                <w:color w:val="FFFFFF"/>
                <w:sz w:val="18"/>
              </w:rPr>
              <w:t>Variation accuracy</w:t>
            </w:r>
          </w:p>
        </w:tc>
      </w:tr>
      <w:tr>
        <w:tc>
          <w:tcPr>
            <w:tcW w:type="dxa" w:w="3389"/>
            <w:vAlign w:val="center"/>
            <w:shd w:fill="F0F3FA"/>
          </w:tcPr>
          <w:p>
            <w:pPr>
              <w:spacing w:after="20"/>
            </w:pPr>
            <w:r/>
            <w:r>
              <w:rPr>
                <w:rFonts w:ascii="Aptos" w:hAnsi="Aptos"/>
                <w:b/>
                <w:color w:val="30394A"/>
                <w:sz w:val="18"/>
              </w:rPr>
              <w:t>SVM</w:t>
            </w:r>
          </w:p>
        </w:tc>
        <w:tc>
          <w:tcPr>
            <w:tcW w:type="dxa" w:w="3389"/>
            <w:vAlign w:val="center"/>
            <w:shd w:fill="F0F3FA"/>
          </w:tcPr>
          <w:p>
            <w:pPr>
              <w:spacing w:after="20"/>
            </w:pPr>
            <w:r/>
            <w:r>
              <w:rPr>
                <w:rFonts w:ascii="Aptos" w:hAnsi="Aptos"/>
                <w:b w:val="0"/>
                <w:color w:val="30394A"/>
                <w:sz w:val="18"/>
              </w:rPr>
              <w:t>99.44%</w:t>
            </w:r>
          </w:p>
        </w:tc>
        <w:tc>
          <w:tcPr>
            <w:tcW w:type="dxa" w:w="3389"/>
            <w:vAlign w:val="center"/>
            <w:shd w:fill="F0F3FA"/>
          </w:tcPr>
          <w:p>
            <w:pPr>
              <w:spacing w:after="20"/>
            </w:pPr>
            <w:r/>
            <w:r>
              <w:rPr>
                <w:rFonts w:ascii="Aptos" w:hAnsi="Aptos"/>
                <w:b w:val="0"/>
                <w:color w:val="30394A"/>
                <w:sz w:val="18"/>
              </w:rPr>
              <w:t>97.22%</w:t>
            </w:r>
          </w:p>
        </w:tc>
      </w:tr>
      <w:tr>
        <w:tc>
          <w:tcPr>
            <w:tcW w:type="dxa" w:w="3389"/>
            <w:vAlign w:val="center"/>
          </w:tcPr>
          <w:p>
            <w:pPr>
              <w:spacing w:after="20"/>
            </w:pPr>
            <w:r/>
            <w:r>
              <w:rPr>
                <w:rFonts w:ascii="Aptos" w:hAnsi="Aptos"/>
                <w:b w:val="0"/>
                <w:color w:val="30394A"/>
                <w:sz w:val="18"/>
              </w:rPr>
              <w:t>Random Forest</w:t>
            </w:r>
          </w:p>
        </w:tc>
        <w:tc>
          <w:tcPr>
            <w:tcW w:type="dxa" w:w="3389"/>
            <w:vAlign w:val="center"/>
          </w:tcPr>
          <w:p>
            <w:pPr>
              <w:spacing w:after="20"/>
            </w:pPr>
            <w:r/>
            <w:r>
              <w:rPr>
                <w:rFonts w:ascii="Aptos" w:hAnsi="Aptos"/>
                <w:b w:val="0"/>
                <w:color w:val="30394A"/>
                <w:sz w:val="18"/>
              </w:rPr>
              <w:t>98.06%</w:t>
            </w:r>
          </w:p>
        </w:tc>
        <w:tc>
          <w:tcPr>
            <w:tcW w:type="dxa" w:w="3389"/>
            <w:vAlign w:val="center"/>
          </w:tcPr>
          <w:p>
            <w:pPr>
              <w:spacing w:after="20"/>
            </w:pPr>
            <w:r/>
            <w:r>
              <w:rPr>
                <w:rFonts w:ascii="Aptos" w:hAnsi="Aptos"/>
                <w:b w:val="0"/>
                <w:color w:val="30394A"/>
                <w:sz w:val="18"/>
              </w:rPr>
              <w:t>96.30%</w:t>
            </w:r>
          </w:p>
        </w:tc>
      </w:tr>
      <w:tr>
        <w:tc>
          <w:tcPr>
            <w:tcW w:type="dxa" w:w="3389"/>
            <w:vAlign w:val="center"/>
            <w:shd w:fill="F0F3FA"/>
          </w:tcPr>
          <w:p>
            <w:pPr>
              <w:spacing w:after="20"/>
            </w:pPr>
            <w:r/>
            <w:r>
              <w:rPr>
                <w:rFonts w:ascii="Aptos" w:hAnsi="Aptos"/>
                <w:b w:val="0"/>
                <w:color w:val="30394A"/>
                <w:sz w:val="18"/>
              </w:rPr>
              <w:t>Neural Network (MLP)</w:t>
            </w:r>
          </w:p>
        </w:tc>
        <w:tc>
          <w:tcPr>
            <w:tcW w:type="dxa" w:w="3389"/>
            <w:vAlign w:val="center"/>
            <w:shd w:fill="F0F3FA"/>
          </w:tcPr>
          <w:p>
            <w:pPr>
              <w:spacing w:after="20"/>
            </w:pPr>
            <w:r/>
            <w:r>
              <w:rPr>
                <w:rFonts w:ascii="Aptos" w:hAnsi="Aptos"/>
                <w:b w:val="0"/>
                <w:color w:val="30394A"/>
                <w:sz w:val="18"/>
              </w:rPr>
              <w:t>98.89%</w:t>
            </w:r>
          </w:p>
        </w:tc>
        <w:tc>
          <w:tcPr>
            <w:tcW w:type="dxa" w:w="3389"/>
            <w:vAlign w:val="center"/>
            <w:shd w:fill="F0F3FA"/>
          </w:tcPr>
          <w:p>
            <w:pPr>
              <w:spacing w:after="20"/>
            </w:pPr>
            <w:r/>
            <w:r>
              <w:rPr>
                <w:rFonts w:ascii="Aptos" w:hAnsi="Aptos"/>
                <w:b w:val="0"/>
                <w:color w:val="30394A"/>
                <w:sz w:val="18"/>
              </w:rPr>
              <w:t>96.67%</w:t>
            </w:r>
          </w:p>
        </w:tc>
      </w:tr>
    </w:tbl>
    <w:p>
      <w:r>
        <w:t>The SVM had the highest test accuracy (99.44%). The website starts with Random Forest selected, and lets the user switch between models. Variation accuracy measures test images with controlled computer-made changes; it is not a score on a large collection of real people?s drawings.</w:t>
      </w:r>
    </w:p>
    <w:p>
      <w:pPr>
        <w:pStyle w:val="Heading1"/>
      </w:pPr>
      <w:r>
        <w:t>4. Results at a glance</w:t>
      </w:r>
    </w:p>
    <w:tbl>
      <w:tblPr>
        <w:tblW w:type="auto" w:w="0"/>
        <w:jc w:val="center"/>
        <w:tblLayout w:type="fixed"/>
        <w:tblLook w:firstColumn="1" w:firstRow="1" w:lastColumn="0" w:lastRow="0" w:noHBand="0" w:noVBand="1" w:val="04A0"/>
      </w:tblPr>
      <w:tblGrid>
        <w:gridCol w:w="4536"/>
        <w:gridCol w:w="4536"/>
      </w:tblGrid>
      <w:tr>
        <w:tc>
          <w:tcPr>
            <w:tcW w:type="dxa" w:w="5083"/>
          </w:tcPr>
          <w:p>
            <w:pPr>
              <w:jc w:val="center"/>
            </w:pPr>
            <w:r/>
            <w:r>
              <w:rPr>
                <w:b/>
                <w:color w:val="34477D"/>
                <w:sz w:val="20"/>
              </w:rPr>
              <w:t>PCA chart</w:t>
            </w:r>
          </w:p>
          <w:p>
            <w:pPr>
              <w:jc w:val="center"/>
            </w:pPr>
            <w:r>
              <w:drawing>
                <wp:inline xmlns:a="http://schemas.openxmlformats.org/drawingml/2006/main" xmlns:pic="http://schemas.openxmlformats.org/drawingml/2006/picture">
                  <wp:extent cx="2423160" cy="2423160"/>
                  <wp:docPr id="1" name="Picture 1"/>
                  <wp:cNvGraphicFramePr>
                    <a:graphicFrameLocks noChangeAspect="1"/>
                  </wp:cNvGraphicFramePr>
                  <a:graphic>
                    <a:graphicData uri="http://schemas.openxmlformats.org/drawingml/2006/picture">
                      <pic:pic>
                        <pic:nvPicPr>
                          <pic:cNvPr id="0" name="pca.png"/>
                          <pic:cNvPicPr/>
                        </pic:nvPicPr>
                        <pic:blipFill>
                          <a:blip r:embed="rId11"/>
                          <a:stretch>
                            <a:fillRect/>
                          </a:stretch>
                        </pic:blipFill>
                        <pic:spPr>
                          <a:xfrm>
                            <a:off x="0" y="0"/>
                            <a:ext cx="2423160" cy="2423160"/>
                          </a:xfrm>
                          <a:prstGeom prst="rect"/>
                        </pic:spPr>
                      </pic:pic>
                    </a:graphicData>
                  </a:graphic>
                </wp:inline>
              </w:drawing>
            </w:r>
          </w:p>
          <w:p>
            <w:pPr>
              <w:spacing w:after="20"/>
              <w:jc w:val="center"/>
            </w:pPr>
            <w:r>
              <w:rPr>
                <w:color w:val="667085"/>
                <w:sz w:val="16"/>
              </w:rPr>
              <w:t>A two-dimensional view of the digit data.</w:t>
            </w:r>
          </w:p>
        </w:tc>
        <w:tc>
          <w:tcPr>
            <w:tcW w:type="dxa" w:w="5083"/>
          </w:tcPr>
          <w:p>
            <w:pPr>
              <w:jc w:val="center"/>
            </w:pPr>
            <w:r/>
            <w:r>
              <w:rPr>
                <w:b/>
                <w:color w:val="34477D"/>
                <w:sz w:val="20"/>
              </w:rPr>
              <w:t>Confusion matrix</w:t>
            </w:r>
          </w:p>
          <w:p>
            <w:pPr>
              <w:jc w:val="center"/>
            </w:pPr>
            <w:r>
              <w:drawing>
                <wp:inline xmlns:a="http://schemas.openxmlformats.org/drawingml/2006/main" xmlns:pic="http://schemas.openxmlformats.org/drawingml/2006/picture">
                  <wp:extent cx="2423160" cy="2423160"/>
                  <wp:docPr id="2" name="Picture 2"/>
                  <wp:cNvGraphicFramePr>
                    <a:graphicFrameLocks noChangeAspect="1"/>
                  </wp:cNvGraphicFramePr>
                  <a:graphic>
                    <a:graphicData uri="http://schemas.openxmlformats.org/drawingml/2006/picture">
                      <pic:pic>
                        <pic:nvPicPr>
                          <pic:cNvPr id="0" name="confusion.png"/>
                          <pic:cNvPicPr/>
                        </pic:nvPicPr>
                        <pic:blipFill>
                          <a:blip r:embed="rId12"/>
                          <a:stretch>
                            <a:fillRect/>
                          </a:stretch>
                        </pic:blipFill>
                        <pic:spPr>
                          <a:xfrm>
                            <a:off x="0" y="0"/>
                            <a:ext cx="2423160" cy="2423160"/>
                          </a:xfrm>
                          <a:prstGeom prst="rect"/>
                        </pic:spPr>
                      </pic:pic>
                    </a:graphicData>
                  </a:graphic>
                </wp:inline>
              </w:drawing>
            </w:r>
          </w:p>
          <w:p>
            <w:pPr>
              <w:spacing w:after="20"/>
              <w:jc w:val="center"/>
            </w:pPr>
            <w:r>
              <w:rPr>
                <w:color w:val="667085"/>
                <w:sz w:val="16"/>
              </w:rPr>
              <w:t>Shows which digits the model gets right or mixes up.</w:t>
            </w:r>
          </w:p>
        </w:tc>
      </w:tr>
    </w:tbl>
    <w:p>
      <w:pPr>
        <w:pStyle w:val="Heading1"/>
      </w:pPr>
      <w:r>
        <w:t>5. Tools used</w:t>
      </w:r>
    </w:p>
    <w:p>
      <w:r>
        <w:t>Python, Flask, scikit-learn, Pillow, NumPy, Matplotlib, and HTML/CSS/JavaScript.</w:t>
      </w:r>
    </w:p>
    <w:p>
      <w:pPr>
        <w:pStyle w:val="Heading1"/>
      </w:pPr>
      <w:r>
        <w:t>6. Limitations and conclusion</w:t>
      </w:r>
    </w:p>
    <w:p>
      <w:r>
        <w:t>The training images are small and limited in number. Different handwriting, thin strokes, or unusual shapes can still be misread. The accuracy scores describe this dataset and its controlled variations; they do not promise perfect results for every user. This project demonstrates how image preprocessing, machine learning, and a web interface can work together to recognize digits.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D94"/>
        <w:sz w:val="16"/>
      </w:rPr>
      <w:t>Handwritten Digit Recognition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37D94"/>
        <w:sz w:val="16"/>
      </w:rPr>
      <w:t>DIGIT STUDIO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9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26366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5366A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26366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