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ADHICS v2.0 Compliance for Log360 Cloud</w:t>
      </w:r>
    </w:p>
    <w:p>
      <w:r>
        <w:rPr>
          <w:b/>
        </w:rPr>
        <w:t>Tagline:</w:t>
      </w:r>
      <w:r>
        <w:t xml:space="preserve"> Safeguard Abu Dhabi healthcare data and meet ADHICS v2.0 security requirements with centralized monitoring from Log360 Cloud.</w:t>
      </w:r>
    </w:p>
    <w:p>
      <w:pPr>
        <w:pStyle w:val="Heading2"/>
      </w:pPr>
      <w:r>
        <w:t>Overview</w:t>
      </w:r>
    </w:p>
    <w:p>
      <w:r>
        <w:t>The ADHICS v2.0 (Abu Dhabi Healthcare Information &amp; Cyber Security Standard) Compliance extension for Log360 Cloud enables Abu Dhabi healthcare organizations and providers regulated by DOH to meet the comprehensive information security and cybersecurity requirements of ADHICS v2.0. Log360 Cloud collects and correlates logs from electronic health record systems, medical devices, cloud platforms, and network infrastructure, providing continuous visibility into patient data access and system integrity. Security and compliance teams can detect threats targeting sensitive health information, demonstrate control effectiveness, and generate audit-ready reports for DOH assessments.</w:t>
      </w:r>
    </w:p>
    <w:p>
      <w:pPr>
        <w:pStyle w:val="Heading2"/>
      </w:pPr>
      <w:r>
        <w:t>Key Features</w:t>
      </w:r>
    </w:p>
    <w:p>
      <w:pPr>
        <w:pStyle w:val="ListBullet"/>
      </w:pPr>
      <w:r>
        <w:t>Generate predefined audit reports covering ADHICS v2.0 controls including access management, data confidentiality, and security incident monitoring.</w:t>
      </w:r>
    </w:p>
    <w:p>
      <w:pPr>
        <w:pStyle w:val="ListBullet"/>
      </w:pPr>
      <w:r>
        <w:t>Track access to electronic health records, detect unauthorized data exports, and monitor privileged user activity across clinical systems in real time.</w:t>
      </w:r>
    </w:p>
    <w:p>
      <w:pPr>
        <w:pStyle w:val="ListBullet"/>
      </w:pPr>
      <w:r>
        <w:t>Leverage ML-powered UEBA to identify anomalous access to patient data, compromised clinical accounts, and insider threats.</w:t>
      </w:r>
    </w:p>
    <w:p>
      <w:pPr>
        <w:pStyle w:val="ListBullet"/>
      </w:pPr>
      <w:r>
        <w:t>Export compliance reports in PDF and CSV formats for DOH audits, accreditation submissions, and internal healthcare governance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