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Italian Privacy Code (D.Lgs. 196/2003 as amended) Compliance for Log360 Cloud</w:t>
      </w:r>
    </w:p>
    <w:p>
      <w:r>
        <w:rPr>
          <w:b/>
        </w:rPr>
        <w:t>Tagline:</w:t>
      </w:r>
      <w:r>
        <w:t xml:space="preserve"> Demonstrate accountability under Italy's Privacy Code and GDPR-aligned obligations with comprehensive log monitoring from Log360 Cloud.</w:t>
      </w:r>
    </w:p>
    <w:p>
      <w:pPr>
        <w:pStyle w:val="Heading2"/>
      </w:pPr>
      <w:r>
        <w:t>Overview</w:t>
      </w:r>
    </w:p>
    <w:p>
      <w:r>
        <w:t>The Italian Privacy Code (D.Lgs. 196/2003 as amended) Compliance extension for Log360 Cloud helps Italian data controllers and processors meet the security monitoring, data access audit, and breach notification requirements of Italy's Privacy Code. Log360 Cloud collects and analyzes logs from databases, cloud services, endpoints, and identity systems, providing granular visibility into who accessed personal data, when, and from where. Security and DPO teams can detect unauthorized access to personal data, track consent-related system changes, and generate audit-ready records to satisfy Garante inspections.</w:t>
      </w:r>
    </w:p>
    <w:p>
      <w:pPr>
        <w:pStyle w:val="Heading2"/>
      </w:pPr>
      <w:r>
        <w:t>Key Features</w:t>
      </w:r>
    </w:p>
    <w:p>
      <w:pPr>
        <w:pStyle w:val="ListBullet"/>
      </w:pPr>
      <w:r>
        <w:t>Generate predefined privacy compliance reports covering personal data access events, authentication logs, and system changes relevant to the Italian Privacy Code.</w:t>
      </w:r>
    </w:p>
    <w:p>
      <w:pPr>
        <w:pStyle w:val="ListBullet"/>
      </w:pPr>
      <w:r>
        <w:t>Track database access, file activity, and cloud storage events to detect unauthorized processing of personal data in real time.</w:t>
      </w:r>
    </w:p>
    <w:p>
      <w:pPr>
        <w:pStyle w:val="ListBullet"/>
      </w:pPr>
      <w:r>
        <w:t>Configure alerts for critical privacy events such as bulk data exports, unauthorized access to sensitive records, and audit log modifications.</w:t>
      </w:r>
    </w:p>
    <w:p>
      <w:pPr>
        <w:pStyle w:val="ListBullet"/>
      </w:pPr>
      <w:r>
        <w:t>Export compliance evidence in PDF and CSV formats for Garante investigations, DPA submissions, and internal data protection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