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DFSA Cyber Risk Framework Compliance for Log360 Cloud</w:t>
      </w:r>
    </w:p>
    <w:p>
      <w:r>
        <w:rPr>
          <w:b/>
        </w:rPr>
        <w:t>Tagline:</w:t>
      </w:r>
      <w:r>
        <w:t xml:space="preserve"> Meet the DFSA's cyber risk management expectations with continuous security monitoring and analytics from Log360 Cloud.</w:t>
      </w:r>
    </w:p>
    <w:p>
      <w:pPr>
        <w:pStyle w:val="Heading2"/>
      </w:pPr>
      <w:r>
        <w:t>Overview</w:t>
      </w:r>
    </w:p>
    <w:p>
      <w:r>
        <w:t>The DFSA Cyber Risk Framework Compliance extension for Log360 Cloud supports DIFC-licensed financial services firms in fulfilling the cybersecurity risk management, threat detection, and incident response obligations required by the Dubai Financial Services Authority. Log360 Cloud collects and correlates logs from financial applications, trading systems, cloud environments, and network infrastructure, providing real-time visibility into cyber risk indicators. Compliance and security teams can monitor critical controls, identify incidents early, and deliver audit-grade evidence to DFSA supervisors demonstrating the maturity of their cyber risk management programs.</w:t>
      </w:r>
    </w:p>
    <w:p>
      <w:pPr>
        <w:pStyle w:val="Heading2"/>
      </w:pPr>
      <w:r>
        <w:t>Key Features</w:t>
      </w:r>
    </w:p>
    <w:p>
      <w:pPr>
        <w:pStyle w:val="ListBullet"/>
      </w:pPr>
      <w:r>
        <w:t>Generate audit-ready reports covering DFSA cyber risk framework requirements including access control monitoring, threat detection, and incident logging.</w:t>
      </w:r>
    </w:p>
    <w:p>
      <w:pPr>
        <w:pStyle w:val="ListBullet"/>
      </w:pPr>
      <w:r>
        <w:t>Track privileged user actions, administrative changes, and access events across financial services systems in real time.</w:t>
      </w:r>
    </w:p>
    <w:p>
      <w:pPr>
        <w:pStyle w:val="ListBullet"/>
      </w:pPr>
      <w:r>
        <w:t>Leverage 2000+ MITRE ATT&amp;CK-mapped detection rules to identify threats targeting DIFC financial institutions and their critical assets.</w:t>
      </w:r>
    </w:p>
    <w:p>
      <w:pPr>
        <w:pStyle w:val="ListBullet"/>
      </w:pPr>
      <w:r>
        <w:t>Export compliance reports in PDF and CSV formats for DFSA supervisory submissions and internal cyber risk committee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DFSA_Cyber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DFSA_Cyber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