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Spanish Organic Law 3/2018 (LOPDGDD) Compliance for Log360 Cloud</w:t>
      </w:r>
    </w:p>
    <w:p>
      <w:r>
        <w:rPr>
          <w:b/>
        </w:rPr>
        <w:t>Tagline:</w:t>
      </w:r>
      <w:r>
        <w:t xml:space="preserve"> Demonstrate data protection accountability under Spain's LOPDGDD with comprehensive log monitoring and reporting from Log360 Cloud.</w:t>
      </w:r>
    </w:p>
    <w:p>
      <w:pPr>
        <w:pStyle w:val="Heading2"/>
      </w:pPr>
      <w:r>
        <w:t>Overview</w:t>
      </w:r>
    </w:p>
    <w:p>
      <w:r>
        <w:t>The Spanish Organic Law 3/2018 (LOPDGDD) Compliance extension for Log360 Cloud helps Spanish data controllers and processors meet the data security, access audit, and breach notification requirements under Spain's Organic Law on Data Protection and the Guarantee of Digital Rights (LOPDGDD). Log360 Cloud collects and analyzes logs from databases, cloud services, applications, and identity systems, providing visibility into personal data processing activities and potential security violations. Compliance and DPO teams can detect unauthorized access to personal data, investigate incidents, and generate AEPD-ready audit documentation.</w:t>
      </w:r>
    </w:p>
    <w:p>
      <w:pPr>
        <w:pStyle w:val="Heading2"/>
      </w:pPr>
      <w:r>
        <w:t>Key Features</w:t>
      </w:r>
    </w:p>
    <w:p>
      <w:pPr>
        <w:pStyle w:val="ListBullet"/>
      </w:pPr>
      <w:r>
        <w:t>Generate predefined LOPDGDD compliance reports covering personal data access events, authentication logs, and system security activities.</w:t>
      </w:r>
    </w:p>
    <w:p>
      <w:pPr>
        <w:pStyle w:val="ListBullet"/>
      </w:pPr>
      <w:r>
        <w:t>Monitor access to personal data repositories and detect unauthorized queries, bulk exports, and anomalous data movements across cloud and on-premises environments.</w:t>
      </w:r>
    </w:p>
    <w:p>
      <w:pPr>
        <w:pStyle w:val="ListBullet"/>
      </w:pPr>
      <w:r>
        <w:t>Configure alerts for breach indicators such as unauthorized access to sensitive records, unusual data transfers, and audit log tampering.</w:t>
      </w:r>
    </w:p>
    <w:p>
      <w:pPr>
        <w:pStyle w:val="ListBullet"/>
      </w:pPr>
      <w:r>
        <w:t>Export compliance evidence in PDF and CSV formats for AEPD investigations, DPO records, and internal data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LOPDGDD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LOPDGDD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