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Swiss Federal Information Security Act (ISA) Compliance for Log360 Cloud</w:t>
      </w:r>
    </w:p>
    <w:p>
      <w:r>
        <w:rPr>
          <w:b/>
        </w:rPr>
        <w:t>Tagline:</w:t>
      </w:r>
      <w:r>
        <w:t xml:space="preserve"> Strengthen federal data security posture and meet Switzerland's ISA requirements using Log360 Cloud.</w:t>
      </w:r>
    </w:p>
    <w:p>
      <w:pPr>
        <w:pStyle w:val="Heading2"/>
      </w:pPr>
      <w:r>
        <w:t>Overview</w:t>
      </w:r>
    </w:p>
    <w:p>
      <w:r>
        <w:t>The Swiss Federal Information Security Act (ISA) Compliance extension for Log360 Cloud helps Swiss federal bodies and organizations handling federal data align with Switzerland's binding information security legislation. Log360 Cloud continuously collects and correlates log data from Active Directory, Windows, Unix/Linux, Microsoft 365, cloud platforms, and network devices, mapping security events to ISA requirements. Security teams gain real-time visibility into data access, system changes, and incidents, enabling them to detect threats early, demonstrate due diligence to federal auditors, and generate compliance-ready reports with a single click.</w:t>
      </w:r>
    </w:p>
    <w:p>
      <w:pPr>
        <w:pStyle w:val="Heading2"/>
      </w:pPr>
      <w:r>
        <w:t>Key Features</w:t>
      </w:r>
    </w:p>
    <w:p>
      <w:pPr>
        <w:pStyle w:val="ListBullet"/>
      </w:pPr>
      <w:r>
        <w:t>Generate predefined audit reports aligned to ISA requirements covering data access, system integrity, and incident response activities.</w:t>
      </w:r>
    </w:p>
    <w:p>
      <w:pPr>
        <w:pStyle w:val="ListBullet"/>
      </w:pPr>
      <w:r>
        <w:t>Monitor user authentication events, privilege changes, and administrative actions across on-premises and cloud environments in real time.</w:t>
      </w:r>
    </w:p>
    <w:p>
      <w:pPr>
        <w:pStyle w:val="ListBullet"/>
      </w:pPr>
      <w:r>
        <w:t>Export compliance reports in PDF and CSV formats for submission to federal oversight authorities and internal governance teams.</w:t>
      </w:r>
    </w:p>
    <w:p>
      <w:pPr>
        <w:pStyle w:val="ListBullet"/>
      </w:pPr>
      <w:r>
        <w:t>Configure threshold-based alerts for critical ISA-relevant events such as unauthorized access attempts, audit log tampering, and policy violations.</w:t>
      </w:r>
    </w:p>
    <w:p>
      <w:r>
        <w:drawing>
          <wp:inline xmlns:a="http://schemas.openxmlformats.org/drawingml/2006/main" xmlns:pic="http://schemas.openxmlformats.org/drawingml/2006/picture">
            <wp:extent cx="1714500" cy="1714500"/>
            <wp:docPr id="1" name="Picture 1"/>
            <wp:cNvGraphicFramePr>
              <a:graphicFrameLocks noChangeAspect="1"/>
            </wp:cNvGraphicFramePr>
            <a:graphic>
              <a:graphicData uri="http://schemas.openxmlformats.org/drawingml/2006/picture">
                <pic:pic>
                  <pic:nvPicPr>
                    <pic:cNvPr id="0" name="ISA-CH_180x180.png"/>
                    <pic:cNvPicPr/>
                  </pic:nvPicPr>
                  <pic:blipFill>
                    <a:blip r:embed="rId9"/>
                    <a:stretch>
                      <a:fillRect/>
                    </a:stretch>
                  </pic:blipFill>
                  <pic:spPr>
                    <a:xfrm>
                      <a:off x="0" y="0"/>
                      <a:ext cx="1714500" cy="1714500"/>
                    </a:xfrm>
                    <a:prstGeom prst="rect"/>
                  </pic:spPr>
                </pic:pic>
              </a:graphicData>
            </a:graphic>
          </wp:inline>
        </w:drawing>
      </w:r>
    </w:p>
    <w:p>
      <w:r>
        <w:drawing>
          <wp:inline xmlns:a="http://schemas.openxmlformats.org/drawingml/2006/main" xmlns:pic="http://schemas.openxmlformats.org/drawingml/2006/picture">
            <wp:extent cx="7048500" cy="3238500"/>
            <wp:docPr id="2" name="Picture 2"/>
            <wp:cNvGraphicFramePr>
              <a:graphicFrameLocks noChangeAspect="1"/>
            </wp:cNvGraphicFramePr>
            <a:graphic>
              <a:graphicData uri="http://schemas.openxmlformats.org/drawingml/2006/picture">
                <pic:pic>
                  <pic:nvPicPr>
                    <pic:cNvPr id="0" name="ISA-CH_740x340.png"/>
                    <pic:cNvPicPr/>
                  </pic:nvPicPr>
                  <pic:blipFill>
                    <a:blip r:embed="rId10"/>
                    <a:stretch>
                      <a:fillRect/>
                    </a:stretch>
                  </pic:blipFill>
                  <pic:spPr>
                    <a:xfrm>
                      <a:off x="0" y="0"/>
                      <a:ext cx="7048500" cy="3238500"/>
                    </a:xfrm>
                    <a:prstGeom prst="rect"/>
                  </pic:spPr>
                </pic:pic>
              </a:graphicData>
            </a:graphic>
          </wp:inline>
        </w:drawing>
      </w:r>
    </w:p>
    <w:p>
      <w:pPr>
        <w:pStyle w:val="Heading2"/>
      </w:pPr>
      <w:r>
        <w:t>Screenshots</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01_overview.png"/>
                    <pic:cNvPicPr/>
                  </pic:nvPicPr>
                  <pic:blipFill>
                    <a:blip r:embed="rId11"/>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02_graph_overview.png"/>
                    <pic:cNvPicPr/>
                  </pic:nvPicPr>
                  <pic:blipFill>
                    <a:blip r:embed="rId12"/>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03_report_detail.png"/>
                    <pic:cNvPicPr/>
                  </pic:nvPicPr>
                  <pic:blipFill>
                    <a:blip r:embed="rId13"/>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5943600" cy="334327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