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Turkish Cybersecurity Law No. 7545 (2025) Compliance for Log360 Cloud</w:t>
      </w:r>
    </w:p>
    <w:p>
      <w:r>
        <w:rPr>
          <w:b/>
        </w:rPr>
        <w:t>Tagline:</w:t>
      </w:r>
      <w:r>
        <w:t xml:space="preserve"> Align with Turkey's landmark cybersecurity legislation using real-time monitoring and incident reporting capabilities from Log360 Cloud.</w:t>
      </w:r>
    </w:p>
    <w:p>
      <w:pPr>
        <w:pStyle w:val="Heading2"/>
      </w:pPr>
      <w:r>
        <w:t>Overview</w:t>
      </w:r>
    </w:p>
    <w:p>
      <w:r>
        <w:t>The Turkish Cybersecurity Law No. 7545 (2025) Compliance extension for Log360 Cloud helps Turkish organizations subject to the new national cybersecurity law meet its requirements for security monitoring, incident reporting, and data protection. Log360 Cloud collects and correlates logs from IT systems, cloud platforms, network devices, and identity services, providing continuous visibility into security events. Compliance and security teams can detect incidents within the mandatory reporting windows, maintain audit trails, and generate documentation to demonstrate compliance to the Turkish National Cyber Incidents Response Centre (USOM) and the Information and Communication Technologies Authority (BTK).</w:t>
      </w:r>
    </w:p>
    <w:p>
      <w:pPr>
        <w:pStyle w:val="Heading2"/>
      </w:pPr>
      <w:r>
        <w:t>Key Features</w:t>
      </w:r>
    </w:p>
    <w:p>
      <w:pPr>
        <w:pStyle w:val="ListBullet"/>
      </w:pPr>
      <w:r>
        <w:t>Generate audit reports aligned to Turkish Cybersecurity Law 7545 requirements covering access control, incident detection, and network security monitoring.</w:t>
      </w:r>
    </w:p>
    <w:p>
      <w:pPr>
        <w:pStyle w:val="ListBullet"/>
      </w:pPr>
      <w:r>
        <w:t>Detect cyber threats in real time using 2000+ MITRE ATT&amp;CK-mapped detection rules, enabling rapid response within mandatory incident reporting timeframes.</w:t>
      </w:r>
    </w:p>
    <w:p>
      <w:pPr>
        <w:pStyle w:val="ListBullet"/>
      </w:pPr>
      <w:r>
        <w:t>Monitor privileged user activities, authentication events, and critical system changes across Turkish regulated organizations.</w:t>
      </w:r>
    </w:p>
    <w:p>
      <w:pPr>
        <w:pStyle w:val="ListBullet"/>
      </w:pPr>
      <w:r>
        <w:t>Export compliance documentation in PDF and CSV formats for BTK and USOM regulatory submissions and internal governance reporting.</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Cyber_Law_7545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Cyber_Law_7545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