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Presidential Information and Communication Security Guide Compliance for Log360 Cloud</w:t>
      </w:r>
    </w:p>
    <w:p>
      <w:r>
        <w:rPr>
          <w:b/>
        </w:rPr>
        <w:t>Tagline:</w:t>
      </w:r>
      <w:r>
        <w:t xml:space="preserve"> Align with Turkey's Presidential cybersecurity guidance for public institutions using centralized monitoring from Log360 Cloud.</w:t>
      </w:r>
    </w:p>
    <w:p>
      <w:pPr>
        <w:pStyle w:val="Heading2"/>
      </w:pPr>
      <w:r>
        <w:t>Overview</w:t>
      </w:r>
    </w:p>
    <w:p>
      <w:r>
        <w:t>The Presidential Information and Communication Security Guide Compliance extension for Log360 Cloud helps Turkish public institutions and state enterprises meet the cybersecurity controls and information security management requirements prescribed by Turkey's Presidential Cybersecurity Authority. Log360 Cloud collects and correlates logs from government IT systems, cloud environments, network infrastructure, and identity platforms, providing security teams with continuous visibility into security events. Compliance teams can monitor control effectiveness, detect threats, and generate audit documentation for Presidential Cybersecurity Authority reviews.</w:t>
      </w:r>
    </w:p>
    <w:p>
      <w:pPr>
        <w:pStyle w:val="Heading2"/>
      </w:pPr>
      <w:r>
        <w:t>Key Features</w:t>
      </w:r>
    </w:p>
    <w:p>
      <w:pPr>
        <w:pStyle w:val="ListBullet"/>
      </w:pPr>
      <w:r>
        <w:t>Generate predefined compliance reports covering Presidential Guide security controls including access management, network monitoring, data protection, and incident detection.</w:t>
      </w:r>
    </w:p>
    <w:p>
      <w:pPr>
        <w:pStyle w:val="ListBullet"/>
      </w:pPr>
      <w:r>
        <w:t>Monitor authentication events, privileged access activities, and system changes across Turkish public institution IT environments in real time.</w:t>
      </w:r>
    </w:p>
    <w:p>
      <w:pPr>
        <w:pStyle w:val="ListBullet"/>
      </w:pPr>
      <w:r>
        <w:t>Configure threshold-based alerts for guide-relevant security events such as unauthorized access, account privilege escalations, and audit log tampering.</w:t>
      </w:r>
    </w:p>
    <w:p>
      <w:pPr>
        <w:pStyle w:val="ListBullet"/>
      </w:pPr>
      <w:r>
        <w:t>Export compliance documentation in PDF and CSV formats for Presidential Cybersecurity Authority submissions and internal government security governance.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