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FSRA Cyber Risk Management Framework Compliance for Log360 Cloud</w:t>
      </w:r>
    </w:p>
    <w:p>
      <w:r>
        <w:rPr>
          <w:b/>
        </w:rPr>
        <w:t>Tagline:</w:t>
      </w:r>
      <w:r>
        <w:t xml:space="preserve"> Align with ADGM's FSRA cyber risk management standards using unified log monitoring and threat detection from Log360 Cloud.</w:t>
      </w:r>
    </w:p>
    <w:p>
      <w:pPr>
        <w:pStyle w:val="Heading2"/>
      </w:pPr>
      <w:r>
        <w:t>Overview</w:t>
      </w:r>
    </w:p>
    <w:p>
      <w:r>
        <w:t>The FSRA Cyber Risk Management Framework Compliance extension for Log360 Cloud enables ADGM-licensed financial institutions and fintech firms to meet the Financial Services Regulatory Authority's cyber risk management, monitoring, and resilience requirements. Log360 Cloud ingests and correlates security event data from financial applications, cloud platforms, endpoints, and network devices, providing compliance and security teams with a continuous view of their cyber risk posture. Teams can identify control gaps, respond to threats rapidly, and generate FSRA-ready documentation to demonstrate framework adherence.</w:t>
      </w:r>
    </w:p>
    <w:p>
      <w:pPr>
        <w:pStyle w:val="Heading2"/>
      </w:pPr>
      <w:r>
        <w:t>Key Features</w:t>
      </w:r>
    </w:p>
    <w:p>
      <w:pPr>
        <w:pStyle w:val="ListBullet"/>
      </w:pPr>
      <w:r>
        <w:t>Generate compliance reports aligned to FSRA Cyber Risk Management Framework controls covering identity security, threat monitoring, and incident response.</w:t>
      </w:r>
    </w:p>
    <w:p>
      <w:pPr>
        <w:pStyle w:val="ListBullet"/>
      </w:pPr>
      <w:r>
        <w:t>Monitor authentication events, privileged access usage, and critical configuration changes across ADGM financial services environments.</w:t>
      </w:r>
    </w:p>
    <w:p>
      <w:pPr>
        <w:pStyle w:val="ListBullet"/>
      </w:pPr>
      <w:r>
        <w:t>Use ML-powered anomaly detection to identify compromised accounts, insider threats, and unusual data movement within regulated financial systems.</w:t>
      </w:r>
    </w:p>
    <w:p>
      <w:pPr>
        <w:pStyle w:val="ListBullet"/>
      </w:pPr>
      <w:r>
        <w:t>Export audit evidence in PDF and CSV formats for FSRA supervisory reviews and internal risk governance submissions.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