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German NIS2 Implementation Act (NIS2UmsuCG) Compliance for Log360 Cloud</w:t>
      </w:r>
    </w:p>
    <w:p>
      <w:r>
        <w:rPr>
          <w:b/>
        </w:rPr>
        <w:t>Tagline:</w:t>
      </w:r>
      <w:r>
        <w:t xml:space="preserve"> Meet Germany's NIS2 transposition requirements with real-time threat detection and comprehensive audit reporting from Log360 Cloud.</w:t>
      </w:r>
    </w:p>
    <w:p>
      <w:pPr>
        <w:pStyle w:val="Heading2"/>
      </w:pPr>
      <w:r>
        <w:t>Overview</w:t>
      </w:r>
    </w:p>
    <w:p>
      <w:r>
        <w:t>The German NIS2 Implementation Act (NIS2UmsuCG) Compliance extension for Log360 Cloud helps German essential and important entities meet the cybersecurity risk management, supply chain security, and incident reporting obligations introduced by Germany's national NIS2 transposition. Log360 Cloud collects and correlates logs from IT systems, operational technology, cloud platforms, and network infrastructure, mapping events to NIS2 control requirements. Security and compliance teams can continuously monitor their environments, detect incidents within mandatory reporting timelines, and generate audit evidence for BSI and sectoral supervisory authorities.</w:t>
      </w:r>
    </w:p>
    <w:p>
      <w:pPr>
        <w:pStyle w:val="Heading2"/>
      </w:pPr>
      <w:r>
        <w:t>Key Features</w:t>
      </w:r>
    </w:p>
    <w:p>
      <w:pPr>
        <w:pStyle w:val="ListBullet"/>
      </w:pPr>
      <w:r>
        <w:t>Generate audit reports mapped to NIS2UmsuCG requirements covering risk management controls, access monitoring, incident detection, and supply chain oversight.</w:t>
      </w:r>
    </w:p>
    <w:p>
      <w:pPr>
        <w:pStyle w:val="ListBullet"/>
      </w:pPr>
      <w:r>
        <w:t>Detect threats in real time using 2000+ MITRE ATT&amp;CK-mapped detection rules, enabling rapid incident response within BSI mandatory reporting windows.</w:t>
      </w:r>
    </w:p>
    <w:p>
      <w:pPr>
        <w:pStyle w:val="ListBullet"/>
      </w:pPr>
      <w:r>
        <w:t>Monitor user behavior with ML-powered UEBA to uncover insider threats, compromised accounts, and anomalous data movements.</w:t>
      </w:r>
    </w:p>
    <w:p>
      <w:pPr>
        <w:pStyle w:val="ListBullet"/>
      </w:pPr>
      <w:r>
        <w:t>Export compliance documentation in PDF and CSV formats for BSI incident notifications, supervisory authority submissions, and internal governance.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