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NABIDH Compliance for Log360 Cloud</w:t>
      </w:r>
    </w:p>
    <w:p>
      <w:r>
        <w:rPr>
          <w:b/>
        </w:rPr>
        <w:t>Tagline:</w:t>
      </w:r>
      <w:r>
        <w:t xml:space="preserve"> Meet Dubai Health Authority's NABIDH health data standards with continuous monitoring and audit-ready reporting from Log360 Cloud.</w:t>
      </w:r>
    </w:p>
    <w:p>
      <w:pPr>
        <w:pStyle w:val="Heading2"/>
      </w:pPr>
      <w:r>
        <w:t>Overview</w:t>
      </w:r>
    </w:p>
    <w:p>
      <w:r>
        <w:t>The NABIDH (Dubai Unified Health Record) Compliance extension for Log360 Cloud helps Dubai healthcare providers and digital health platforms meet the data security, access control, and audit requirements established by the Dubai Health Authority under the NABIDH framework. Log360 Cloud ingests and analyzes logs from health information systems, cloud services, and network infrastructure, providing security teams with full visibility into patient data access and transmission events. Compliance teams can rapidly detect policy violations, investigate incidents, and generate reports demonstrating adherence to NABIDH data governance obligations.</w:t>
      </w:r>
    </w:p>
    <w:p>
      <w:pPr>
        <w:pStyle w:val="Heading2"/>
      </w:pPr>
      <w:r>
        <w:t>Key Features</w:t>
      </w:r>
    </w:p>
    <w:p>
      <w:pPr>
        <w:pStyle w:val="ListBullet"/>
      </w:pPr>
      <w:r>
        <w:t>Generate audit reports mapped to NABIDH data access and security requirements, covering health record access, user authentication, and data transmission events.</w:t>
      </w:r>
    </w:p>
    <w:p>
      <w:pPr>
        <w:pStyle w:val="ListBullet"/>
      </w:pPr>
      <w:r>
        <w:t>Monitor access to patient health records across integrated systems, detecting unauthorized queries, bulk exports, and data sharing violations.</w:t>
      </w:r>
    </w:p>
    <w:p>
      <w:pPr>
        <w:pStyle w:val="ListBullet"/>
      </w:pPr>
      <w:r>
        <w:t>Configure threshold-based alerts for critical NABIDH compliance events such as unauthorized access to sensitive health data and audit log modifications.</w:t>
      </w:r>
    </w:p>
    <w:p>
      <w:pPr>
        <w:pStyle w:val="ListBullet"/>
      </w:pPr>
      <w:r>
        <w:t>Export compliance evidence in PDF and CSV formats to support DHA audits and internal healthcare data governance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