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UAE CMA/SCA Virtual Asset Platform Regulation Compliance for Log360 Cloud</w:t>
      </w:r>
    </w:p>
    <w:p>
      <w:r>
        <w:rPr>
          <w:b/>
        </w:rPr>
        <w:t>Tagline:</w:t>
      </w:r>
      <w:r>
        <w:t xml:space="preserve"> Align virtual asset operations with UAE capital markets and virtual asset regulations using security monitoring from Log360 Cloud.</w:t>
      </w:r>
    </w:p>
    <w:p>
      <w:pPr>
        <w:pStyle w:val="Heading2"/>
      </w:pPr>
      <w:r>
        <w:t>Overview</w:t>
      </w:r>
    </w:p>
    <w:p>
      <w:r>
        <w:t>The UAE CMA/SCA Virtual Asset Platform Regulation Compliance extension for Log360 Cloud helps UAE-regulated virtual asset platforms and exchanges meet the cybersecurity, technology risk management, and audit requirements of the Securities and Commodities Authority's virtual asset regulatory framework. Log360 Cloud continuously monitors logs from virtual asset trading systems, wallet management platforms, cloud environments, and identity services, providing compliance and security teams with visibility into cyber risk events and regulatory control activities. Teams can detect threats, maintain forensic evidence, and generate SCA-ready audit reports.</w:t>
      </w:r>
    </w:p>
    <w:p>
      <w:pPr>
        <w:pStyle w:val="Heading2"/>
      </w:pPr>
      <w:r>
        <w:t>Key Features</w:t>
      </w:r>
    </w:p>
    <w:p>
      <w:pPr>
        <w:pStyle w:val="ListBullet"/>
      </w:pPr>
      <w:r>
        <w:t>Generate predefined compliance reports covering SCA virtual asset platform requirements including access management, security monitoring, and incident detection.</w:t>
      </w:r>
    </w:p>
    <w:p>
      <w:pPr>
        <w:pStyle w:val="ListBullet"/>
      </w:pPr>
      <w:r>
        <w:t>Monitor virtual asset platform events in real time, detecting unauthorized access attempts, suspicious trading activity patterns, and data exfiltration indicators.</w:t>
      </w:r>
    </w:p>
    <w:p>
      <w:pPr>
        <w:pStyle w:val="ListBullet"/>
      </w:pPr>
      <w:r>
        <w:t>Use ML-powered anomaly detection to identify unusual user behavior and compromised accounts across virtual asset service environments.</w:t>
      </w:r>
    </w:p>
    <w:p>
      <w:pPr>
        <w:pStyle w:val="ListBullet"/>
      </w:pPr>
      <w:r>
        <w:t>Export compliance evidence in PDF and CSV formats for SCA supervisory submissions and internal virtual asset risk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