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VAIT Compliance for Log360 Cloud</w:t>
      </w:r>
    </w:p>
    <w:p>
      <w:r>
        <w:rPr>
          <w:b/>
        </w:rPr>
        <w:t>Tagline:</w:t>
      </w:r>
      <w:r>
        <w:t xml:space="preserve"> Satisfy BaFin's IT supervisory requirements for insurance companies with centralized security monitoring from Log360 Cloud.</w:t>
      </w:r>
    </w:p>
    <w:p>
      <w:pPr>
        <w:pStyle w:val="Heading2"/>
      </w:pPr>
      <w:r>
        <w:t>Overview</w:t>
      </w:r>
    </w:p>
    <w:p>
      <w:r>
        <w:t>The VAIT (BaFin Supervisory Requirements for IT in Insurance) Compliance extension for Log360 Cloud supports German insurance undertakings in meeting BaFin's requirements for IT governance, access management, and information security management as outlined in VAIT. Log360 Cloud ingests and correlates logs from insurance policy systems, cloud environments, network devices, and identity platforms, enabling continuous monitoring of IT security controls. Security and compliance teams can detect policy violations, investigate incidents, and generate audit documentation aligned to BaFin's VAIT expectations.</w:t>
      </w:r>
    </w:p>
    <w:p>
      <w:pPr>
        <w:pStyle w:val="Heading2"/>
      </w:pPr>
      <w:r>
        <w:t>Key Features</w:t>
      </w:r>
    </w:p>
    <w:p>
      <w:pPr>
        <w:pStyle w:val="ListBullet"/>
      </w:pPr>
      <w:r>
        <w:t>Generate VAIT-aligned audit reports covering IT security controls including access management, incident detection, and system integrity monitoring.</w:t>
      </w:r>
    </w:p>
    <w:p>
      <w:pPr>
        <w:pStyle w:val="ListBullet"/>
      </w:pPr>
      <w:r>
        <w:t>Monitor user access to policyholder data, detect unauthorized system changes, and track privileged operations across insurance IT environments.</w:t>
      </w:r>
    </w:p>
    <w:p>
      <w:pPr>
        <w:pStyle w:val="ListBullet"/>
      </w:pPr>
      <w:r>
        <w:t>Configure real-time alerts for VAIT-critical events such as unauthorized access to core insurance systems, privilege escalations, and audit log tampering.</w:t>
      </w:r>
    </w:p>
    <w:p>
      <w:pPr>
        <w:pStyle w:val="ListBullet"/>
      </w:pPr>
      <w:r>
        <w:t>Export compliance evidence in PDF and CSV formats for BaFin supervisory reviews and internal IT governance audits.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