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BSI C5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Establish cloud security assurance under the BSI Cloud Computing Compliance using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BSI C5 (Cloud Computing Compliance Criteria Catalogue) Compliance extension for Log360 helps German and European cloud service providers and their customers validate security controls against BSI's cloud assurance standard.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cloud infrastructure, identity systems, applications, and network devices, providing continuous visibility into security events relevant to BSI C5 control domains including identity management, logging, and incident response. Compliance teams can monitor control effectiveness, detect deviations, and generate audit-ready evidence for BSI C5 attestations.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audit reports mapped to BSI C5 control domains covering security event logging, identity and access management, and incident detection.</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cloud infrastructure access events, configuration changes, and privileged operations in real time across AWS, Azure, and Google Cloud environments.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Leverage preconfigured threat intelligence and correlation rules to detect attacks targeting cloud workloads and sensitive data stores.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C5-aligned compliance evidence in PDF and CSV formats for BSI attestation audits and customer transparency reports.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BSI C5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2f2424ae-2f5c-4ffe-a6ec-13ffa6dfcb9c" w:fontKey="{00000000-0000-0000-0000-000000000000}" w:subsetted="0"/>
  </w:font>
  <w:font w:name="Caladea Regular">
    <w:embedRegular xmlns:r="http://schemas.openxmlformats.org/officeDocument/2006/relationships" r:id="rId5c7b2e56-d60c-2d7c-4b0d-3fcf7be33053"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
    <w:name w:val="List"/>
    <w:uiPriority w:val="1"/>
    <w:basedOn w:val="Normal"/>
    <w:next w:val="List"/>
    <w:pPr>
      <w:widowControl w:val="1"/>
      <w:ind w:left="360" w:hanging="360"/>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3">
    <w:name w:val="List 3"/>
    <w:uiPriority w:val="1"/>
    <w:basedOn w:val="Normal"/>
    <w:next w:val="List3"/>
    <w:pPr>
      <w:widowControl w:val="1"/>
      <w:ind w:left="108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TOCHeading">
    <w:name w:val="TOC Heading"/>
    <w:uiPriority w:val="1"/>
    <w:basedOn w:val="Heading1"/>
    <w:next w:val="Normal"/>
    <w:pPr>
      <w:widowControl w:val="1"/>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f2424ae-2f5c-4ffe-a6ec-13ffa6dfcb9c" Target="fonts/ArimoRegular.ttf" Type="http://schemas.openxmlformats.org/officeDocument/2006/relationships/font"/><Relationship Id="rId5c7b2e56-d60c-2d7c-4b0d-3fcf7be33053" Target="fonts/Caladea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