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B3S Krankenhaus and SGB V Section 75c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Meet German hospital cybersecurity requirements with continuous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B3S Krankenhaus and SGB V Section 75c Compliance extension for Log360 helps German hospitals and healthcare facilities with critical infrastructure designation meet the sector-specific security standard (B3S Krankenhaus) and the statutory cybersecurity obligations under Social Code Book V Section 75c.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analyzes logs from hospital information systems, clinical applications, cloud environments, and network infrastructure, providing security teams with visibility into patient data access and system integrity events. Compliance teams can monitor control effectiveness and generate BSI-ready audit evidence.</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predefined compliance reports aligned to B3S Krankenhaus controls covering access management, clinical system monitoring, and cybersecurity incident detection.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Track access to electronic health records, detect unusual data exports, and monitor privileged user activity across hospital IT environments in real time.</w:t>
      </w:r>
    </w:p>
    <w:p xmlns:w14="http://schemas.microsoft.com/office/word/2010/wordml" w:rsidR="00000000" w:rsidRDefault="00000000" w14:textId="00000000" w:rsidDel="00000000" w:rsidP="00000000" w:rsidRPr="00000000">
      <w:pPr>
        <w:pStyle w:val="Normal"/>
        <w:spacing w:line="264.0000057220459" w:lineRule="auto" w:after="0.0"/>
        <w:rPr>
          <w:color w:val="000000"/>
          <w:sz w:val="22.0"/>
          <w:shd w:fill="92D050" w:val="clear" w:color="auto"/>
        </w:rPr>
        <w:numPr>
          <w:ilvl w:val="0"/>
          <w:numId w:val="1"/>
        </w:numPr>
        <w:widowControl w:val="1"/>
        <w:ind w:left="360" w:hanging="360"/>
      </w:pPr>
      <w:r w:rsidR="00000000" w:rsidDel="00000000" w:rsidRPr="00000000">
        <w:rPr>
          <w:shd w:fill="auto" w:val="clear" w:color="auto"/>
          <w:vertAlign w:val="baseline"/>
        </w:rPr>
        <w:t xml:space="preserve">Continuously correlate security events across your IT environment to detect suspicious activity and policy violations aligned with </w:t>
      </w: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B3S Krankenhaus</w:t>
      </w:r>
      <w:r w:rsidR="00000000" w:rsidDel="00000000" w:rsidRPr="00000000">
        <w:rPr>
          <w:shd w:fill="auto" w:val="clear" w:color="auto"/>
          <w:vertAlign w:val="baseline"/>
        </w:rPr>
        <w:t xml:space="preserve"> incident detection and response obligations.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audit evidence in PDF and CSV formats for BSI KRITIS audits, hospital management reviews, and internal healthcare cybersecurity governance.</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B3S Krankenhaus and SGB V Section 75c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ff58a9ec-a003-52b8-a0a0-12ef489d3139" w:fontKey="{00000000-0000-0000-0000-000000000000}" w:subsetted="0"/>
  </w:font>
  <w:font w:name="Caladea Regular">
    <w:embedRegular xmlns:r="http://schemas.openxmlformats.org/officeDocument/2006/relationships" r:id="rId57c7951b-f635-d913-2a9a-054a92df8428"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4792981">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34311386">
    <w:abstractNumId w:val="5479298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BodyText">
    <w:name w:val="Body Text"/>
    <w:uiPriority w:val="1"/>
    <w:basedOn w:val="Normal"/>
    <w:next w:val="BodyText"/>
    <w:pPr>
      <w:spacing w:after="120.0"/>
      <w:widowControl w:val="1"/>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List3">
    <w:name w:val="List 3"/>
    <w:uiPriority w:val="1"/>
    <w:basedOn w:val="Normal"/>
    <w:next w:val="List3"/>
    <w:pPr>
      <w:widowControl w:val="1"/>
      <w:ind w:left="1080" w:hanging="360"/>
    </w:pPr>
    <w:rPr/>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TOCHeading">
    <w:name w:val="TOC Heading"/>
    <w:uiPriority w:val="1"/>
    <w:basedOn w:val="Heading1"/>
    <w:next w:val="Normal"/>
    <w:pPr>
      <w:widowControl w:val="1"/>
    </w:pPr>
    <w:rPr/>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List">
    <w:name w:val="List"/>
    <w:uiPriority w:val="1"/>
    <w:basedOn w:val="Normal"/>
    <w:next w:val="List"/>
    <w:pPr>
      <w:widowControl w:val="1"/>
      <w:ind w:left="36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List2">
    <w:name w:val="List 2"/>
    <w:uiPriority w:val="1"/>
    <w:basedOn w:val="Normal"/>
    <w:next w:val="List2"/>
    <w:pPr>
      <w:widowControl w:val="1"/>
      <w:ind w:left="720" w:hanging="360"/>
    </w:pPr>
    <w:rPr/>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ff58a9ec-a003-52b8-a0a0-12ef489d3139" Target="fonts/ArimoRegular.ttf" Type="http://schemas.openxmlformats.org/officeDocument/2006/relationships/font"/><Relationship Id="rId57c7951b-f635-d913-2a9a-054a92df8428" Target="fonts/Caladea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