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KRITIS-Dachgesetz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Strengthen German critical infrastructure resilience and meet KRITIS-Dachgesetz obligations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KRITIS-Dachgesetz (Critical Infrastructure Umbrella Law / CER) Compliance extension for Log360 supports German critical infrastructure operators in meeting the cross-sector security monitoring, incident reporting, and resilience requirements under the German implementation of the EU CER Directive.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OT systems, IT environments, cloud platforms, and network infrastructure, providing security teams with continuous visibility into threats targeting critical facilities. Compliance teams can assess control coverage, detect incidents, and generate documentation for BBK and sectoral authority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aligned to KRITIS-Dachgesetz requirements covering physical and cyber security monitoring, incident detection, and access control for critical facilities.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operational technology and IT systems for unauthorized access, anomalous commands, and configuration changes affecting critical infrastructure operations.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threat intelligence and correlation rules to detect advanced attacks targeting KRITIS sectors including energy, water, transport, and health.</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BBK notifications, sectoral authority reporting, and internal critical infrastructure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kritis dachgesetz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f61cb05-6202-200f-ba62-5c8c69364158" w:fontKey="{00000000-0000-0000-0000-000000000000}" w:subsetted="0"/>
  </w:font>
  <w:font w:name="Caladea Regular">
    <w:embedRegular xmlns:r="http://schemas.openxmlformats.org/officeDocument/2006/relationships" r:id="rId1e3c0a2f-e7e7-51e3-e4e5-7e95acea50f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BodyText">
    <w:name w:val="Body Text"/>
    <w:uiPriority w:val="1"/>
    <w:basedOn w:val="Normal"/>
    <w:next w:val="BodyText"/>
    <w:pPr>
      <w:spacing w:after="120.0"/>
      <w:widowControl w:val="1"/>
    </w:pPr>
    <w:rPr/>
    <w:unhideWhenUsed/>
    <w:qFormat/>
  </w:style>
  <w:style w:type="paragraph" w:styleId="List3">
    <w:name w:val="List 3"/>
    <w:uiPriority w:val="1"/>
    <w:basedOn w:val="Normal"/>
    <w:next w:val="List3"/>
    <w:p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
    <w:name w:val="List"/>
    <w:uiPriority w:val="1"/>
    <w:basedOn w:val="Normal"/>
    <w:next w:val="List"/>
    <w:pPr>
      <w:widowControl w:val="1"/>
      <w:ind w:left="36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TOCHeading">
    <w:name w:val="TOC Heading"/>
    <w:uiPriority w:val="1"/>
    <w:basedOn w:val="Heading1"/>
    <w:next w:val="Normal"/>
    <w:pPr>
      <w:widowControl w:val="1"/>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f61cb05-6202-200f-ba62-5c8c69364158" Target="fonts/ArimoRegular.ttf" Type="http://schemas.openxmlformats.org/officeDocument/2006/relationships/font"/><Relationship Id="rId1e3c0a2f-e7e7-51e3-e4e5-7e95acea50fa"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