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German</w:t>
      </w:r>
      <w:r w:rsidR="00000000" w:rsidDel="00000000" w:rsidRPr="00000000">
        <w:rPr/>
        <w:t xml:space="preserve"> NIS2 Implementation Act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Germany's NIS2 requirements with real-time threat detection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German NIS2 Implementation Act (NIS2UmsuCG) Compliance extension for Log360 helps German essential and important entities meet the cybersecurity risk management, supply chain security, and incident reporting obligations introduced by Germany's national NIS2 transposition.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IT systems, operational technology, cloud platforms, and network infrastructure, mapping events to NIS2 control requirements. Security and compliance teams can continuously monitor their environments, detect incidents within mandatory reporting timelines, and generate audit evidence for BSI and sectoral supervisory authorities.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mapped to NIS2UmsuCG requirements covering risk management controls, access monitoring, incident detection, and supply chain oversight.</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spacing w:val="0"/>
          <w:shd w:fill="auto" w:val="clear" w:color="auto"/>
          <w:vertAlign w:val="baseline"/>
        </w:rPr>
        <w:t xml:space="preserve">Detect and correlate NIS2-relevant security incidents in real time with automated BSI reporting templates, enabling organizations to meet mandatory 72-hour incident notification requirements for essential and important entities.</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Centralize log data from across your infrastructure to maintain real-time visibility into user activity and access patterns, supporting proactive threat identification and German NIS2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BSI incident notifications, supervisory authority submissions, and internal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german nis2 implementation act nis2umsucg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8223801b-07a2-7b9e-3fd6-17e8cd0d561a" w:fontKey="{00000000-0000-0000-0000-000000000000}" w:subsetted="0"/>
  </w:font>
  <w:font w:name="Caladea Regular">
    <w:embedRegular xmlns:r="http://schemas.openxmlformats.org/officeDocument/2006/relationships" r:id="rId7418a9a5-79bb-fb20-1088-faaafde563e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4572497">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62586742">
    <w:abstractNumId w:val="44572497"/>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TOCHeading">
    <w:name w:val="TOC Heading"/>
    <w:uiPriority w:val="1"/>
    <w:basedOn w:val="Heading1"/>
    <w:next w:val="Normal"/>
    <w:pPr>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8223801b-07a2-7b9e-3fd6-17e8cd0d561a" Target="fonts/ArimoRegular.ttf" Type="http://schemas.openxmlformats.org/officeDocument/2006/relationships/font" /><Relationship Id="rId7418a9a5-79bb-fb20-1088-faaafde563e4"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