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BE NIS2 Law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Automate Belgium NIS2 Law compliance with advanced threat detection and audit reporting using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BE NIS2 Law Compliance extension for Log360 helps Belgian organizations and critical infrastructure operators align with the Network and Information Systems Security (NIS2) Directive. By integrating this extension, IT and security teams gain comprehensive visibility into their security posture across all NIS2 requirements.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NIS2 Law controls.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each of the BE NIS2 Law security requirements and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Correlates logs from different sources to detect threats, anomalies, and suspicious activities with advanced analytics.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Securely stores and archives logs for customizable retention periods meeting all NIS2 data preservation requirements.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pStyle w:val="Normal"/>
        <w:rPr>
          <w:color w:val="000000"/>
          <w:sz w:val="24.0"/>
          <w:vertAlign w:val="baseline"/>
        </w:rPr>
        <w:widowControl w:val="1"/>
      </w:pPr>
    </w:p>
    <w:p xmlns:w14="http://schemas.microsoft.com/office/word/2010/wordml" w:rsidR="00000000" w:rsidRDefault="00000000" w14:textId="00000000" w:rsidDel="00000000" w:rsidP="00000000" w:rsidRPr="00000000">
      <w:pPr>
        <w:pStyle w:val="Normal"/>
        <w:rPr>
          <w:color w:val="000000"/>
          <w:sz w:val="24.0"/>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BE NIS2 Law</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7aa8f625-4423-14ef-89a6-171b4d2c09b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7aa8f625-4423-14ef-89a6-171b4d2c09b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