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SPK Capital Markets Law 7518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Turkey's crypto asset platform security requirements under Capital Markets Law 7518 with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SPK Capital Markets Law 7518 Compliance extension for Log360 helps Turkish crypto asset service platforms licensed by the Capital Markets Board (SPK) meet the technology risk management, cybersecurity monitoring, and investor protection obligations under Law 7518.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monitors logs from crypto asset trading platforms, wallet systems, cloud environments, and identity services, providing security teams with real-time visibility into cyber risk events. Compliance teams can detect threats, maintain audit trails, and generate SPK-ready documentation to demonstrate regulatory compliance.</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compliance reports covering SPK Law 7518 technology requirements including platform access monitoring, incident detection, and user authentication events.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crypto asset platform activity in real time, detecting unauthorized access, suspicious trading patterns, and data exfiltration indicators.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spacing w:val="0"/>
          <w:vertAlign w:val="baseline"/>
        </w:rPr>
        <w:t xml:space="preserve">Detect threats targeting crypto asset platforms through real-time transaction monitoring integrated with advanced security event correlation.</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SPK supervisory submissions and internal crypto asset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Law 7518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672ea0e7-61a2-5163-52a2-ae0addcc1654" w:fontKey="{00000000-0000-0000-0000-000000000000}" w:subsetted="0"/>
  </w:font>
  <w:font w:name="Caladea Regular">
    <w:embedRegular xmlns:r="http://schemas.openxmlformats.org/officeDocument/2006/relationships" r:id="rId3ba1bb37-09c9-125a-a8c1-e77e6ce8d51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Continue2">
    <w:name w:val="List Continue 2"/>
    <w:uiPriority w:val="1"/>
    <w:basedOn w:val="Normal"/>
    <w:next w:val="ListContinue2"/>
    <w:pPr>
      <w:spacing w:after="120.0"/>
      <w:widowControl w:val="1"/>
      <w:ind w:left="72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
    <w:name w:val="List"/>
    <w:uiPriority w:val="1"/>
    <w:basedOn w:val="Normal"/>
    <w:next w:val="List"/>
    <w:pPr>
      <w:widowControl w:val="1"/>
      <w:ind w:left="36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TOCHeading">
    <w:name w:val="TOC Heading"/>
    <w:uiPriority w:val="1"/>
    <w:basedOn w:val="Heading1"/>
    <w:next w:val="Normal"/>
    <w:pPr>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BodyText">
    <w:name w:val="Body Text"/>
    <w:uiPriority w:val="1"/>
    <w:basedOn w:val="Normal"/>
    <w:next w:val="BodyText"/>
    <w:pPr>
      <w:spacing w:after="120.0"/>
      <w:widowControl w:val="1"/>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672ea0e7-61a2-5163-52a2-ae0addcc1654" Target="fonts/ArimoRegular.ttf" Type="http://schemas.openxmlformats.org/officeDocument/2006/relationships/font"/><Relationship Id="rId3ba1bb37-09c9-125a-a8c1-e77e6ce8d519"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