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German Anti-Money Laundering Act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S</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upport German AML compliance and FIU reporting with centralized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German Anti-Money Laundering Act (GwG) Compliance extension for Log360 helps German obligated entities — including banks, financial service firms, and designated non-financial businesses — meet the IT access control, audit logging, and monitoring obligations relevant to GwG AML compliance.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financial systems, customer data platforms, cloud environments, and identity services, providing compliance teams with visibility into access events and anomalous behavior associated with financial crime risks. Teams can investigate suspicious activities and generate documentation for BaFin and German Financial Intelligence Unit (FIU) oversight.</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compliance reports covering GwG-relevant IT controls including access to customer financial records, authentication logs, and transaction system monitoring.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financial system access and detect unusual data queries, privilege escalations, or unauthorized record modifications that may indicate AML control failures.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AML-relevant security events such as unauthorized access to customer due diligence records and suspicious administrative actions.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audit evidence in PDF and CSV formats for BaFin examinations, internal AML compliance officer records, and FIU disclosure documentation.</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GwG AML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0b79ae60-22d3-e25e-9781-1a62961e74f3" w:fontKey="{00000000-0000-0000-0000-000000000000}" w:subsetted="0"/>
  </w:font>
  <w:font w:name="Caladea Regular">
    <w:embedRegular xmlns:r="http://schemas.openxmlformats.org/officeDocument/2006/relationships" r:id="rId3a9f5d90-9421-5d72-262f-17ba02e2ecd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BodyText">
    <w:name w:val="Body Text"/>
    <w:uiPriority w:val="1"/>
    <w:basedOn w:val="Normal"/>
    <w:next w:val="BodyText"/>
    <w:pPr>
      <w:spacing w:after="120.0"/>
      <w:widowControl w:val="1"/>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3">
    <w:name w:val="List 3"/>
    <w:uiPriority w:val="1"/>
    <w:basedOn w:val="Normal"/>
    <w:next w:val="List3"/>
    <w:pPr>
      <w:widowControl w:val="1"/>
      <w:ind w:left="1080" w:hanging="36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TOCHeading">
    <w:name w:val="TOC Heading"/>
    <w:uiPriority w:val="1"/>
    <w:basedOn w:val="Heading1"/>
    <w:next w:val="Normal"/>
    <w:pPr>
      <w:widowControl w:val="1"/>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ListContinue">
    <w:name w:val="List Continue"/>
    <w:uiPriority w:val="1"/>
    <w:basedOn w:val="Normal"/>
    <w:next w:val="ListContinue"/>
    <w:pPr>
      <w:spacing w:after="120.0"/>
      <w:widowControl w:val="1"/>
      <w:ind w:left="360"/>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0b79ae60-22d3-e25e-9781-1a62961e74f3" Target="fonts/ArimoRegular.ttf" Type="http://schemas.openxmlformats.org/officeDocument/2006/relationships/font" /><Relationship Id="rId3a9f5d90-9421-5d72-262f-17ba02e2ecd2"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