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Spanish CIP Law 8-2011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Spain's CIP obligations with continuous security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Spanish CIP Law 8/2011 compliance extension for Log360 helps Spanish critical infrastructure operators and designated entities meet the cybersecurity monitoring and incident reporting requirements under Spain's Critical Infrastructure Protection Law.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operational technology, IT systems, cloud platforms, and network infrastructure, providing security teams with continuous visibility into threats targeting critical facilities. Compliance teams can document control implementation and generate audit evidence for CNPIC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aligned to CIP Law 8/2011 requirements covering physical and cyber security monitoring, access control, and incident detection for critical infrastructure.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IT and OT systems for unauthorized access, anomalous activity, and configuration changes affecting critical services in real time.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spacing w:val="0"/>
          <w:vertAlign w:val="baseline"/>
        </w:rPr>
        <w:t xml:space="preserve">Monitor and alert on threats targeting Spanish critical infrastructure sectors through correlation of IT/OT security events, with specialized detection for supply chain compromise and insider threats.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CNPIC reporting and internal critical infrastructure protection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CIP Law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9843e52-b650-0c24-af0a-c73c17a61ff9" w:fontKey="{00000000-0000-0000-0000-000000000000}" w:subsetted="0"/>
  </w:font>
  <w:font w:name="Caladea Regular">
    <w:embedRegular xmlns:r="http://schemas.openxmlformats.org/officeDocument/2006/relationships" r:id="rIdabb8e59d-37b2-318e-d690-eca6c8ce6d5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TOCHeading">
    <w:name w:val="TOC Heading"/>
    <w:uiPriority w:val="1"/>
    <w:basedOn w:val="Heading1"/>
    <w:next w:val="Normal"/>
    <w:pPr>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99843e52-b650-0c24-af0a-c73c17a61ff9" Target="fonts/ArimoRegular.ttf" Type="http://schemas.openxmlformats.org/officeDocument/2006/relationships/font" /><Relationship Id="rIdabb8e59d-37b2-318e-d690-eca6c8ce6d5b"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