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SWIFT CSCF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SWIFT CSCF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SWIFT CSCF compliance extension in Log360 helps organizations meet the SWIFT Customer Security Controls Framework, a mandatory security standard issued by SWIFT for all connected financial institutions requiring 25 baseline cybersecurity controls by providing centralized log management, real-time threat detection, and network activity monitoring. The platform supports SWIFT CSCF requirements for network isolation, logical access and MFA enforcement, credential security, malware protection, security event logging, vulnerability scanning, database integrity, and cyber incident response.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SWIFT Environment Isolation and Network Protection, Log360 monitors network device logs, firewall events, and attack reports to detect boundary violations and unauthorized access to the SWIFT environment. To address Logical Access Control and MFA Enforcement, the platform tracks AD logon events, Entra ID MFA activity, user management changes, and Windows authentication reports to evidence mandatory access controls. The extension also supports Credential and Password Security by providing capabilities that monitors password audit events, AD password management, failed logon attempts, and account changes to evidence password policy enforcement.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Hardening and Patch Management: </w:t>
      </w:r>
      <w:r w:rsidR="00000000" w:rsidDel="00000000" w:rsidRPr="00000000">
        <w:rPr>
          <w:rFonts w:ascii="Arial" w:eastAsia="Arial" w:hAnsi="Arial" w:cs="Arial"/>
          <w:sz w:val="22.0"/>
        </w:rPr>
        <w:t xml:space="preserve">Log360 monitors software update events, program inventory, registry changes, and configuration modifications to track patch compliance.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Malware Protection and Threat Detection: </w:t>
      </w:r>
      <w:r w:rsidR="00000000" w:rsidDel="00000000" w:rsidRPr="00000000">
        <w:rPr>
          <w:rFonts w:ascii="Arial" w:eastAsia="Arial" w:hAnsi="Arial" w:cs="Arial"/>
          <w:sz w:val="22.0"/>
        </w:rPr>
        <w:t xml:space="preserve">Log360 ingests threat detection events from Trend Micro, FireEye, and McAfee to provide unified malware monitoring.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Event Logging and Audit Trail: </w:t>
      </w:r>
      <w:r w:rsidR="00000000" w:rsidDel="00000000" w:rsidRPr="00000000">
        <w:rPr>
          <w:rFonts w:ascii="Arial" w:eastAsia="Arial" w:hAnsi="Arial" w:cs="Arial"/>
          <w:sz w:val="22.0"/>
        </w:rPr>
        <w:t xml:space="preserve">Log360 centralizes database audit logs, AD activity, and Windows EventLog records to enable daily review and automated alerting on suspicious activity.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mo Regular" w:eastAsia="Arimo Regular" w:hAnsi="Arimo Regular" w:cs="Arimo Regular"/>
          <w:i w:val="false"/>
          <w:strike w:val="false"/>
          <w:color w:val="000000"/>
          <w:spacing w:val="0"/>
          <w:sz w:val="22.0"/>
          <w:u w:val="none"/>
          <w:shd w:fill="auto" w:val="clear" w:color="auto"/>
          <w:vertAlign w:val="baseline"/>
        </w:rPr>
        <w:t xml:space="preserve">Automated Compliance Auditing and Independent Assessment Support:</w:t>
      </w:r>
      <w:r w:rsidR="00000000" w:rsidDel="00000000" w:rsidRPr="00000000">
        <w:rPr>
          <w:b w:val="false"/>
          <w:rFonts w:ascii="Arimo Regular" w:eastAsia="Arimo Regular" w:hAnsi="Arimo Regular" w:cs="Arimo Regular"/>
          <w:i w:val="false"/>
          <w:strike w:val="false"/>
          <w:color w:val="000000"/>
          <w:spacing w:val="0"/>
          <w:sz w:val="24.0"/>
          <w:u w:val="none"/>
          <w:shd w:fill="auto" w:val="clear" w:color="auto"/>
          <w:vertAlign w:val="baseline"/>
        </w:rPr>
        <w:t xml:space="preserve"> Log360 provides pre-built reporting templates mapped to SWIFT CSCF control objectives, streamlining the collection of technical evidence required for annual self-attestations and external regulatory audits.</w:t>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SWIFT CSCF.</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45b63b8-265a-05b6-dc75-e297927997b5" w:fontKey="{00000000-0000-0000-0000-000000000000}" w:subsetted="0"/>
  </w:font>
  <w:font w:name="Arimo Regular">
    <w:embedRegular xmlns:r="http://schemas.openxmlformats.org/officeDocument/2006/relationships" r:id="rIdeb15abe8-01cf-37fa-b899-bf8ed0ac22e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65756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82059558">
    <w:abstractNumId w:val="8657565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Strong">
    <w:name w:val="Strong"/>
    <w:uiPriority w:val="1"/>
    <w:basedOn w:val="Normal"/>
    <w:next w:val="Normal"/>
    <w:pPr>
      <w:widowControl w:val="1"/>
    </w:pPr>
    <w:rPr>
      <w:b w:val="true"/>
    </w:rPr>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45b63b8-265a-05b6-dc75-e297927997b5" Target="fonts/Roboto.ttf" Type="http://schemas.openxmlformats.org/officeDocument/2006/relationships/font"/><Relationship Id="rIdeb15abe8-01cf-37fa-b899-bf8ed0ac22e8"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