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DHCC Health Information Protection Regulation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DHCC health information security compliance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DHCC Health Information Protection Regulation Compliance extension for Log360 helps Dubai Healthcare City Authority-licensed healthcare providers meet the information security, data access audit, and breach notification requirements of the DHCC Health Information Protection Regulation.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clinical information systems, electronic health records, cloud environments, and network infrastructure, providing security teams with continuous visibility into patient data access events. Compliance and privacy teams can detect unauthorized data access, investigate incidents, and generate DHCCA-ready audit documentation.</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DHCC Health Information Protection Regulation requirements including patient data access monitoring and security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protected health information across DHCC-licensed clinical systems and detect unauthorized queries and bulk exports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threshold-based alerts for health data security events such as unauthorized record access, audit log tampering, and anomalous user behavior.</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DHCCA regulatory reviews and internal healthcare information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DHCC Health Information Protection Regulation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dea6f5a-d2d2-84c6-a46a-f50ce5b933e1" w:fontKey="{00000000-0000-0000-0000-000000000000}" w:subsetted="0"/>
  </w:font>
  <w:font w:name="Caladea Regular">
    <w:embedRegular xmlns:r="http://schemas.openxmlformats.org/officeDocument/2006/relationships" r:id="rId02ea38ed-5d8e-8b26-4c01-439987e2ed2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3">
    <w:name w:val="List 3"/>
    <w:uiPriority w:val="1"/>
    <w:basedOn w:val="Normal"/>
    <w:next w:val="List3"/>
    <w:pPr>
      <w:widowControl w:val="1"/>
      <w:ind w:left="108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TOCHeading">
    <w:name w:val="TOC Heading"/>
    <w:uiPriority w:val="1"/>
    <w:basedOn w:val="Heading1"/>
    <w:next w:val="Normal"/>
    <w:pPr>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2">
    <w:name w:val="List 2"/>
    <w:uiPriority w:val="1"/>
    <w:basedOn w:val="Normal"/>
    <w:next w:val="List2"/>
    <w:p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
    <w:name w:val="Body Text"/>
    <w:uiPriority w:val="1"/>
    <w:basedOn w:val="Normal"/>
    <w:next w:val="BodyText"/>
    <w:pPr>
      <w:spacing w:after="120.0"/>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dea6f5a-d2d2-84c6-a46a-f50ce5b933e1" Target="fonts/ArimoRegular.ttf" Type="http://schemas.openxmlformats.org/officeDocument/2006/relationships/font"/><Relationship Id="rId02ea38ed-5d8e-8b26-4c01-439987e2ed22"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