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DESC Information Security Regulation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 Dubai DESC security compliance with real-time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DESC Information Security Regulation Compliance extension for Log360 helps Dubai government entities and organizations operating under Dubai Electronic Security Center oversight meet DESC's information security requirements for access control, incident management, and audit logging.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analyzes logs from IT systems, network devices, cloud environments, and identity platforms, providing security teams with continuous visibility into critical security events. Compliance teams can track control effectiveness, investigate incidents, and generate the reports required for DESC assessments and government security audits.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audit reports covering DESC information security requirements including user access monitoring, system change tracking, and incident detection.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Active Directory, cloud platforms, and network infrastructure for unauthorized access, policy violations, and privilege escalation events.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threshold-based alerts for DESC-critical security events such as failed login attempts, unauthorized administrative actions, and data exfiltration indicators.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documentation in PDF and CSV formats for DESC regulatory audits and Dubai government security assessments.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DESC Information Security Regulation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32950903-1051-4563-5723-29afef25fcc2" w:fontKey="{00000000-0000-0000-0000-000000000000}" w:subsetted="0"/>
  </w:font>
  <w:font w:name="Caladea Regular">
    <w:embedRegular xmlns:r="http://schemas.openxmlformats.org/officeDocument/2006/relationships" r:id="rIdd197fa84-ed49-fc5e-27a7-5831ae937ac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List">
    <w:name w:val="List"/>
    <w:uiPriority w:val="1"/>
    <w:basedOn w:val="Normal"/>
    <w:next w:val="List"/>
    <w:pPr>
      <w:widowControl w:val="1"/>
      <w:ind w:left="360" w:hanging="360"/>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TOCHeading">
    <w:name w:val="TOC Heading"/>
    <w:uiPriority w:val="1"/>
    <w:basedOn w:val="Heading1"/>
    <w:next w:val="Normal"/>
    <w:pPr>
      <w:widowControl w:val="1"/>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BodyText">
    <w:name w:val="Body Text"/>
    <w:uiPriority w:val="1"/>
    <w:basedOn w:val="Normal"/>
    <w:next w:val="BodyText"/>
    <w:pPr>
      <w:spacing w:after="120.0"/>
      <w:widowControl w:val="1"/>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3">
    <w:name w:val="List 3"/>
    <w:uiPriority w:val="1"/>
    <w:basedOn w:val="Normal"/>
    <w:next w:val="List3"/>
    <w:pPr>
      <w:widowControl w:val="1"/>
      <w:ind w:left="1080" w:hanging="360"/>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32950903-1051-4563-5723-29afef25fcc2" Target="fonts/ArimoRegular.ttf" Type="http://schemas.openxmlformats.org/officeDocument/2006/relationships/font"/><Relationship Id="rIdd197fa84-ed49-fc5e-27a7-5831ae937ac9"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