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Banco de Espana Circular 2-2016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Banco de España's requirements with centralized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Banco de España Circular 2/2016 (as amended by 3/2022) Compliance extension for Log360 helps Spanish credit institutions meet the IT governance, access management, and operational security requirements set out in Banco de España's supervisory circular.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banking applications, core systems, cloud platforms, and network infrastructure, providing security and compliance teams with continuous visibility into IT security events. Teams can detect anomalies, investigate incidents, and generate the audit evidence required for Banco de España inspections and EBA supervisory reporting.</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aligned to Banco de España Circular 2/2016 requirements covering access management, IT operations security, and incident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activities, core banking system changes, and access events across Spanish banking IT environments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vertAlign w:val="baseline"/>
        </w:rPr>
        <w:t xml:space="preserve">Centralize log data from across your infrastructure to maintain real-time visibility into user activity and access patterns, supporting proactive threat identification and compliance posture.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Banco de España supervisory examinations and internal IT risk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Banco de España Circular 2/2016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3c2f842-7e27-f9a1-272e-bc911d8566f0" w:fontKey="{00000000-0000-0000-0000-000000000000}" w:subsetted="0"/>
  </w:font>
  <w:font w:name="Caladea Regular">
    <w:embedRegular xmlns:r="http://schemas.openxmlformats.org/officeDocument/2006/relationships" r:id="rIddb2ca4e8-a8b4-5df5-7c7a-3a9a4771a8b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0912466">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62521590">
    <w:abstractNumId w:val="80912466"/>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2">
    <w:name w:val="List 2"/>
    <w:uiPriority w:val="1"/>
    <w:basedOn w:val="Normal"/>
    <w:next w:val="List2"/>
    <w:p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OCHeading">
    <w:name w:val="TOC Heading"/>
    <w:uiPriority w:val="1"/>
    <w:basedOn w:val="Heading1"/>
    <w:next w:val="Normal"/>
    <w:pPr>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
    <w:name w:val="List"/>
    <w:uiPriority w:val="1"/>
    <w:basedOn w:val="Normal"/>
    <w:next w:val="List"/>
    <w:p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BodyText">
    <w:name w:val="Body Text"/>
    <w:uiPriority w:val="1"/>
    <w:basedOn w:val="Normal"/>
    <w:next w:val="BodyText"/>
    <w:pPr>
      <w:spacing w:after="120.0"/>
      <w:widowControl w:val="1"/>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01f4f534-d309-4304-be33-96b080096d4b.png" Type="http://schemas.openxmlformats.org/officeDocument/2006/relationships/image" /><Relationship Id="rId7" Target="media/bb782666-4f0b-436d-b0f2-c2a23eecb65a.png" Type="http://schemas.openxmlformats.org/officeDocument/2006/relationships/image" /><Relationship Id="rId8" Target="media/bd90ad1e-cf0e-4ca4-8b1d-d5192d9ac121.png" Type="http://schemas.openxmlformats.org/officeDocument/2006/relationships/image" /><Relationship Id="rId9" Target="media/d6f64472-15d8-497c-808f-ac6e798b3c6f.png" Type="http://schemas.openxmlformats.org/officeDocument/2006/relationships/image" /><Relationship Id="rId10" Target="media/c4ffaadc-dbc4-4521-aa23-fa13d0031de6.png" Type="http://schemas.openxmlformats.org/officeDocument/2006/relationships/image" /><Relationship Id="rId11" Target="media/aa1b9401-2cd3-421e-b710-cf2aacecd2bf.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93c2f842-7e27-f9a1-272e-bc911d8566f0" Target="fonts/ArimoRegular.ttf" Type="http://schemas.openxmlformats.org/officeDocument/2006/relationships/font" /><Relationship Id="rIddb2ca4e8-a8b4-5df5-7c7a-3a9a4771a8bd"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