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DHA Health Data Protection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Dubai Health Authority's regulatory expectations with unified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DHA Health Data Protection Regulation Compliance extension for Log360 enables Dubai healthcare facilities and digital health operators licensed by the Dubai Health Authority to meet DHA's requirements for securing protected health information, maintaining access audit trails, and responding to security incidents.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logs from clinical systems, databases, cloud platforms, and network devices, correlating events to surface risks to patient data confidentiality and system integrity. Security and compliance teams can continuously monitor compliance status, investigate suspected breaches, and deliver audit-ready documentation to DHA regulators.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DHA-aligned audit reports covering protected health information access events, user authentication logs, and system integrity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Detect unauthorized access to patient records using real-time correlation rules and ML-powered anomaly detection across clinical IT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database queries, cloud storage access, and file movements involving health data to identify potential privacy violations.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reports in PDF and CSV formats for DHA regulatory submissions and internal data protection committees.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486400" cy="252077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486400" cy="2520778"/>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DHA Health Data Protection Regulation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ebcbd0f7-0a24-1255-8420-b6c010bf4ca5" w:fontKey="{00000000-0000-0000-0000-000000000000}" w:subsetted="0"/>
  </w:font>
  <w:font w:name="Caladea Regular">
    <w:embedRegular xmlns:r="http://schemas.openxmlformats.org/officeDocument/2006/relationships" r:id="rIdbc798a28-2758-028d-4032-4bdaf73fd607"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3">
    <w:name w:val="Body Text 3"/>
    <w:uiPriority w:val="1"/>
    <w:basedOn w:val="Normal"/>
    <w:next w:val="BodyText3"/>
    <w:pPr>
      <w:spacing w:after="120.0"/>
      <w:widowControl w:val="1"/>
    </w:pPr>
    <w:rPr>
      <w:sz w:val="16"/>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3">
    <w:name w:val="List 3"/>
    <w:uiPriority w:val="1"/>
    <w:basedOn w:val="Normal"/>
    <w:next w:val="List3"/>
    <w:p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2">
    <w:name w:val="List 2"/>
    <w:uiPriority w:val="1"/>
    <w:basedOn w:val="Normal"/>
    <w:next w:val="List2"/>
    <w:p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
    <w:name w:val="List"/>
    <w:uiPriority w:val="1"/>
    <w:basedOn w:val="Normal"/>
    <w:next w:val="List"/>
    <w:pPr>
      <w:widowControl w:val="1"/>
      <w:ind w:left="36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ebcbd0f7-0a24-1255-8420-b6c010bf4ca5" Target="fonts/ArimoRegular.ttf" Type="http://schemas.openxmlformats.org/officeDocument/2006/relationships/font"/><Relationship Id="rIdbc798a28-2758-028d-4032-4bdaf73fd607"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