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DIFC Data Protection Law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DIFC data protection compliance with log monitoring and reporting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DIFC Data Protection Law (Amended 2025) Compliance extension for Log360 helps DIFC-registered businesses and data controllers meet the updated personal data security, breach notification, and accountability requirements under the amended DIFC Data Protection Law.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monitors access to personal data across cloud platforms, databases, and application environments, maintaining detailed audit trails that demonstrate due diligence to the DIFC Commissioner of Data Protection. Security and compliance teams can detect unauthorized data processing, investigate incidents rapidly, and generate reports aligned to DIFC regulatory expectations.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covering personal data access, user authentication, and system security events aligned to the DIFC Data Protection Law.</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Detect unauthorized access to personal data across cloud and on-premises environments using real-time correlation and anomaly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alerts for data breach indicators such as bulk data exports, unusual access patterns, and unauthorized third-party data transfers.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audit-ready reports in PDF and CSV formats for DIFC Commissioner submissions and internal data protection officer records.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DIFC Data Protection Law (Amended 2025)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23296efe-31fd-5173-fb30-94595279abde" w:fontKey="{00000000-0000-0000-0000-000000000000}" w:subsetted="0"/>
  </w:font>
  <w:font w:name="Caladea Regular">
    <w:embedRegular xmlns:r="http://schemas.openxmlformats.org/officeDocument/2006/relationships" r:id="rId9086f98f-f479-f52d-54c4-ace1c88f052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List3">
    <w:name w:val="List 3"/>
    <w:uiPriority w:val="1"/>
    <w:basedOn w:val="Normal"/>
    <w:next w:val="List3"/>
    <w:pPr>
      <w:widowControl w:val="1"/>
      <w:ind w:left="1080" w:hanging="360"/>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TOCHeading">
    <w:name w:val="TOC Heading"/>
    <w:uiPriority w:val="1"/>
    <w:basedOn w:val="Heading1"/>
    <w:next w:val="Normal"/>
    <w:pPr>
      <w:widowControl w:val="1"/>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
    <w:name w:val="List"/>
    <w:uiPriority w:val="1"/>
    <w:basedOn w:val="Normal"/>
    <w:next w:val="List"/>
    <w:p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BodyText">
    <w:name w:val="Body Text"/>
    <w:uiPriority w:val="1"/>
    <w:basedOn w:val="Normal"/>
    <w:next w:val="BodyText"/>
    <w:pPr>
      <w:spacing w:after="120.0"/>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2">
    <w:name w:val="List 2"/>
    <w:uiPriority w:val="1"/>
    <w:basedOn w:val="Normal"/>
    <w:next w:val="List2"/>
    <w:pPr>
      <w:widowControl w:val="1"/>
      <w:ind w:left="720" w:hanging="36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23296efe-31fd-5173-fb30-94595279abde" Target="fonts/ArimoRegular.ttf" Type="http://schemas.openxmlformats.org/officeDocument/2006/relationships/font" /><Relationship Id="rId9086f98f-f479-f52d-54c4-ace1c88f0521"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