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German</w:t>
      </w:r>
      <w:r w:rsidR="00000000" w:rsidDel="00000000" w:rsidRPr="00000000">
        <w:rPr/>
        <w:t xml:space="preserve"> NIS2 Implementation Act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Meet Germany's NIS2 requirements with real-time threat detection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German NIS2 Implementation Act (NIS2UmsuCG) Compliance extension for Log360 helps German essential and important entities meet the cybersecurity risk management, supply chain security, and incident reporting obligations introduced by Germany's national NIS2 transposition.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collects and correlates logs from IT systems, operational technology, cloud platforms, and network infrastructure, mapping events to NIS2 control requirements. Security and compliance teams can continuously monitor their environments, detect incidents within mandatory reporting timelines, and generate audit evidence for BSI and sectoral supervisory authorities.</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audit reports mapped to NIS2UmsuCG requirements covering risk management controls, access monitoring, incident detection, and supply chain oversight.</w:t>
      </w:r>
    </w:p>
    <w:p xmlns:w14="http://schemas.microsoft.com/office/word/2010/wordml" w:rsidR="00000000" w:rsidRDefault="00000000" w14:textId="00000000" w:rsidDel="00000000" w:rsidP="00000000" w:rsidRPr="00000000">
      <w:pPr>
        <w:pStyle w:val="ListBullet"/>
        <w:spacing w:after="0.0" w:before="0.0"/>
        <w:rPr>
          <w:shd w:fill="auto" w:val="clear" w:color="auto"/>
        </w:rPr>
        <w:numPr>
          <w:ilvl w:val="0"/>
          <w:numId w:val="1"/>
        </w:numPr>
        <w:widowControl w:val="1"/>
        <w:ind w:left="360" w:hanging="360"/>
      </w:pPr>
      <w:r w:rsidR="00000000" w:rsidDel="00000000" w:rsidRPr="00000000">
        <w:rPr>
          <w:spacing w:val="0"/>
          <w:shd w:fill="auto" w:val="clear" w:color="auto"/>
          <w:vertAlign w:val="baseline"/>
        </w:rPr>
        <w:t xml:space="preserve">Detect and correlate NIS2-relevant security incidents in real time with automated BSI reporting templates, enabling organizations to meet mandatory 72-hour incident notification requirements for essential and important entities.</w:t>
      </w:r>
    </w:p>
    <w:p xmlns:w14="http://schemas.microsoft.com/office/word/2010/wordml" w:rsidR="00000000" w:rsidRDefault="00000000" w14:textId="00000000" w:rsidDel="00000000" w:rsidP="00000000" w:rsidRPr="00000000">
      <w:pPr>
        <w:pStyle w:val="Normal"/>
        <w:spacing w:line="264.0000057220459" w:lineRule="auto" w:after="0.0"/>
        <w:rPr>
          <w:color w:val="000000"/>
          <w:sz w:val="22.0"/>
          <w:shd w:fill="92D050" w:val="clear" w:color="auto"/>
        </w:rPr>
        <w:numPr>
          <w:ilvl w:val="0"/>
          <w:numId w:val="1"/>
        </w:numPr>
        <w:widowControl w:val="1"/>
        <w:ind w:left="360" w:hanging="360"/>
      </w:pPr>
      <w:r w:rsidR="00000000" w:rsidDel="00000000" w:rsidRPr="00000000">
        <w:rPr>
          <w:shd w:fill="auto" w:val="clear" w:color="auto"/>
          <w:vertAlign w:val="baseline"/>
        </w:rPr>
        <w:t xml:space="preserve">Centralize log data from across your infrastructure to maintain real-time visibility into user activity and access patterns, supporting proactive threat identification and German NIS2 compliance posture.</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compliance documentation in PDF and CSV formats for BSI incident notifications, supervisory authority submissions, and internal governance.</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german nis2 implementation act nis2umsucg </w:t>
      </w: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8223801b-07a2-7b9e-3fd6-17e8cd0d561a" w:fontKey="{00000000-0000-0000-0000-000000000000}" w:subsetted="0"/>
  </w:font>
  <w:font w:name="Caladea Regular">
    <w:embedRegular xmlns:r="http://schemas.openxmlformats.org/officeDocument/2006/relationships" r:id="rId7418a9a5-79bb-fb20-1088-faaafde563e4"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4572497">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62586742">
    <w:abstractNumId w:val="44572497"/>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BodyText">
    <w:name w:val="Body Text"/>
    <w:uiPriority w:val="1"/>
    <w:basedOn w:val="Normal"/>
    <w:next w:val="BodyText"/>
    <w:pPr>
      <w:spacing w:after="120.0"/>
      <w:widowControl w:val="1"/>
    </w:pPr>
    <w:rPr/>
    <w:unhideWhenUsed/>
    <w:qFormat/>
  </w:style>
  <w:style w:type="paragraph" w:styleId="List">
    <w:name w:val="List"/>
    <w:uiPriority w:val="1"/>
    <w:basedOn w:val="Normal"/>
    <w:next w:val="List"/>
    <w:pPr>
      <w:widowControl w:val="1"/>
      <w:ind w:left="360" w:hanging="360"/>
    </w:pPr>
    <w:rPr/>
    <w:unhideWhenUsed/>
    <w:qFormat/>
  </w:style>
  <w:style w:type="paragraph" w:styleId="List2">
    <w:name w:val="List 2"/>
    <w:uiPriority w:val="1"/>
    <w:basedOn w:val="Normal"/>
    <w:next w:val="List2"/>
    <w:pPr>
      <w:widowControl w:val="1"/>
      <w:ind w:left="720" w:hanging="360"/>
    </w:pPr>
    <w:rPr/>
    <w:unhideWhenUsed/>
    <w:qFormat/>
  </w:style>
  <w:style w:type="paragraph" w:styleId="List3">
    <w:name w:val="List 3"/>
    <w:uiPriority w:val="1"/>
    <w:basedOn w:val="Normal"/>
    <w:next w:val="List3"/>
    <w:pPr>
      <w:widowControl w:val="1"/>
      <w:ind w:left="1080" w:hanging="360"/>
    </w:pPr>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TOCHeading">
    <w:name w:val="TOC Heading"/>
    <w:uiPriority w:val="1"/>
    <w:basedOn w:val="Heading1"/>
    <w:next w:val="Normal"/>
    <w:pPr>
      <w:widowControl w:val="1"/>
    </w:pPr>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 ?><Relationships xmlns="http://schemas.openxmlformats.org/package/2006/relationships"><Relationship Id="rId1" Target="theme/theme1.xml" Type="http://schemas.openxmlformats.org/officeDocument/2006/relationships/theme" /><Relationship Id="rId2" Target="settings.xml" Type="http://schemas.openxmlformats.org/officeDocument/2006/relationships/settings" /><Relationship Id="rId3" Target="fontTable.xml" Type="http://schemas.openxmlformats.org/officeDocument/2006/relationships/fontTable" /><Relationship Id="rId4" Target="numbering.xml" Type="http://schemas.openxmlformats.org/officeDocument/2006/relationships/numbering" /><Relationship Id="rId5" Target="styles.xml" Type="http://schemas.openxmlformats.org/officeDocument/2006/relationships/styles" /><Relationship Id="rId6" Target="media/image1.png" Type="http://schemas.openxmlformats.org/officeDocument/2006/relationships/image" /><Relationship Id="rId7" Target="media/image2.png" Type="http://schemas.openxmlformats.org/officeDocument/2006/relationships/image" /><Relationship Id="rId8" Target="media/image3.png" Type="http://schemas.openxmlformats.org/officeDocument/2006/relationships/image" /><Relationship Id="rId9" Target="media/image4.png" Type="http://schemas.openxmlformats.org/officeDocument/2006/relationships/image" /><Relationship Id="rId10" Target="media/image5.png" Type="http://schemas.openxmlformats.org/officeDocument/2006/relationships/image" /><Relationship Id="rId11" Target="media/image6.png" Type="http://schemas.openxmlformats.org/officeDocument/2006/relationships/image" /><Relationship Id="rId12" Target="header1.xml" Type="http://schemas.openxmlformats.org/officeDocument/2006/relationships/header" /><Relationship Id="rId13" Target="footer2.xml" Type="http://schemas.openxmlformats.org/officeDocument/2006/relationships/footer" /></Relationships>
</file>

<file path=word/_rels/fontTable.xml.rels><?xml version='1.0' encoding='UTF-8' ?><Relationships xmlns="http://schemas.openxmlformats.org/package/2006/relationships"><Relationship Id="rId8223801b-07a2-7b9e-3fd6-17e8cd0d561a" Target="fonts/ArimoRegular.ttf" Type="http://schemas.openxmlformats.org/officeDocument/2006/relationships/font" /><Relationship Id="rId7418a9a5-79bb-fb20-1088-faaafde563e4" Target="fonts/CaladeaRegular.ttf" Type="http://schemas.openxmlformats.org/officeDocument/2006/relationships/font" /></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