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4. DNB GP IS Compliance for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 Achieve DNB GP IS compliance with automated log collection and audit reporting using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DNB GP IS Compliance extension for Log360 helps organizations align with the Dutch central bank's DNB GP IS guidelines. By integrating this extension, IT and security teams gain comprehensive visibility into their information security posture.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DNB GP IS requirements.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numPr>
          <w:ilvl w:val="0"/>
          <w:numId w:val="1667627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each of the DNB GP IS information security controls.</w:t>
      </w:r>
    </w:p>
    <w:p xmlns:w14="http://schemas.microsoft.com/office/word/2010/wordml" w:rsidR="00000000" w:rsidRDefault="00000000" w14:textId="00000000" w:rsidDel="00000000" w:rsidP="00000000" w:rsidRPr="00000000">
      <w:pPr>
        <w:pStyle w:val="List Paragraph"/>
        <w:spacing w:after="0.0" w:before="0.0"/>
        <w:numPr>
          <w:ilvl w:val="0"/>
          <w:numId w:val="1667627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Correlates logs from different sources to detect threats, anomalies, and suspicious activities with automated rule sets.</w:t>
      </w:r>
    </w:p>
    <w:p xmlns:w14="http://schemas.microsoft.com/office/word/2010/wordml" w:rsidR="00000000" w:rsidRDefault="00000000" w14:textId="00000000" w:rsidDel="00000000" w:rsidP="00000000" w:rsidRPr="00000000">
      <w:pPr>
        <w:pStyle w:val="List Paragraph"/>
        <w:spacing w:after="0.0" w:before="0.0"/>
        <w:numPr>
          <w:ilvl w:val="0"/>
          <w:numId w:val="1667627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Provides powerful search capabilities with filters, keywords, and time-based queries for rapid incident investigation.</w:t>
      </w:r>
    </w:p>
    <w:p xmlns:w14="http://schemas.microsoft.com/office/word/2010/wordml" w:rsidR="00000000" w:rsidRDefault="00000000" w14:textId="00000000" w:rsidDel="00000000" w:rsidP="00000000" w:rsidRPr="00000000">
      <w:pPr>
        <w:pStyle w:val="List Paragraph"/>
        <w:spacing w:after="0.0" w:before="0.0"/>
        <w:numPr>
          <w:ilvl w:val="0"/>
          <w:numId w:val="16676276"/>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Export reports in PDF and CSV format for auditors, management, or regulatory submissions.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DNB GP IS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6e38039-0bfd-276f-a80e-3287bde292f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505962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6676276">
    <w:abstractNumId w:val="95059624"/>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56e38039-0bfd-276f-a80e-3287bde292f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