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BDDK IS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Turkey's banking security requirements with unified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BDDK IS Regulation (Banks' Information Systems) Compliance extension for Log360 helps Turkish banks and financial institutions regulated by the Banking Regulation and Supervision Agency (BDDK) meet the information systems security, access control, and audit requirements of the BDDK IS Regulation.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continuously collects and correlates logs from core banking systems, payment platforms, cloud environments, and network infrastructure, providing security teams with detailed visibility into IT security events. Compliance teams can monitor access to sensitive financial data, detect anomalies, and generate reports for BDDK examinations.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BDDK IS Regulation-aligned audit reports covering access management, system integrity monitoring, and security incident detection in banking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administrative system changes, and access to core banking applications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vertAlign w:val="baseline"/>
        </w:rPr>
        <w:t xml:space="preserve">Centralize log data from across your infrastructure to maintain real-time visibility into user activity and access patterns, supporting proactive threat identification and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BDDK on-site inspections and internal IT audit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BDDK IS Regulation Compliance </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b5bac38-42a4-71b8-199d-763d26ee0da8" w:fontKey="{00000000-0000-0000-0000-000000000000}" w:subsetted="0"/>
  </w:font>
  <w:font w:name="Caladea Regular">
    <w:embedRegular xmlns:r="http://schemas.openxmlformats.org/officeDocument/2006/relationships" r:id="rIde5e8abe3-cd65-12c1-601f-20c8ee164dc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0145302">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3305337">
    <w:abstractNumId w:val="4014530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
    <w:name w:val="List"/>
    <w:uiPriority w:val="1"/>
    <w:basedOn w:val="Normal"/>
    <w:next w:val="List"/>
    <w:pPr>
      <w:widowControl w:val="1"/>
      <w:ind w:left="36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TOCHeading">
    <w:name w:val="TOC Heading"/>
    <w:uiPriority w:val="1"/>
    <w:basedOn w:val="Heading1"/>
    <w:next w:val="Normal"/>
    <w:pPr>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b5bac38-42a4-71b8-199d-763d26ee0da8" Target="fonts/ArimoRegular.ttf" Type="http://schemas.openxmlformats.org/officeDocument/2006/relationships/font"/><Relationship Id="rIde5e8abe3-cd65-12c1-601f-20c8ee164dce"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