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IVASS Regulation 38-2018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Italian insurance IT governance and outsourcing compliance with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IVASS Regulation 38/2018 Compliance extension for Log360 supports Italian insurance undertakings in meeting the IT governance, information security, and outsourcing oversight requirements established by the Italian insurance supervisory authority (IVASS).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insurance policy systems, cloud platforms, outsourced service environments, and network infrastructure, providing security teams with visibility into critical IT events. Compliance teams can monitor access to policyholder data, detect anomalies, and generate audit evidence for IVASS inspections.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IVASS Regulation 38/2018-aligned audit reports covering IT governance controls, access management, and information security incident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user access to sensitive insurance data and detect unauthorized system changes across internal and outsourced IT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security events relevant to IVASS requirements including privilege escalations and unauthorized administrative actions.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IVASS supervisory reviews and internal insurance IT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IVASS Regulation 38/2018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d9f8b496-b5f8-30ca-0fd9-625794ae7a04" w:fontKey="{00000000-0000-0000-0000-000000000000}" w:subsetted="0"/>
  </w:font>
  <w:font w:name="Caladea Regular">
    <w:embedRegular xmlns:r="http://schemas.openxmlformats.org/officeDocument/2006/relationships" r:id="rId7b18e5a4-6398-9c3e-73c0-3a34103b1e2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3">
    <w:name w:val="Body Text 3"/>
    <w:uiPriority w:val="1"/>
    <w:basedOn w:val="Normal"/>
    <w:next w:val="BodyText3"/>
    <w:pPr>
      <w:spacing w:after="120.0"/>
      <w:widowControl w:val="1"/>
    </w:pPr>
    <w:rPr>
      <w:sz w:val="16"/>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TOCHeading">
    <w:name w:val="TOC Heading"/>
    <w:uiPriority w:val="1"/>
    <w:basedOn w:val="Heading1"/>
    <w:next w:val="Normal"/>
    <w:pPr>
      <w:widowControl w:val="1"/>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3">
    <w:name w:val="List 3"/>
    <w:uiPriority w:val="1"/>
    <w:basedOn w:val="Normal"/>
    <w:next w:val="List3"/>
    <w:pPr>
      <w:widowControl w:val="1"/>
      <w:ind w:left="108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2">
    <w:name w:val="List 2"/>
    <w:uiPriority w:val="1"/>
    <w:basedOn w:val="Normal"/>
    <w:next w:val="List2"/>
    <w:pPr>
      <w:widowControl w:val="1"/>
      <w:ind w:left="72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ListContinue3">
    <w:name w:val="List Continue 3"/>
    <w:uiPriority w:val="1"/>
    <w:basedOn w:val="Normal"/>
    <w:next w:val="ListContinue3"/>
    <w:pPr>
      <w:spacing w:after="120.0"/>
      <w:widowControl w:val="1"/>
      <w:ind w:left="1080"/>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d9f8b496-b5f8-30ca-0fd9-625794ae7a04" Target="fonts/ArimoRegular.ttf" Type="http://schemas.openxmlformats.org/officeDocument/2006/relationships/font" /><Relationship Id="rId7b18e5a4-6398-9c3e-73c0-3a34103b1e28"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