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Italian Privacy Code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Italy’s privacy and GDPR compliance with comprehensive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Italian Privacy Code (D.Lgs. 196/2003 as amended) Compliance extension for Log360 helps Italian data controllers and processors meet the security monitoring, data access audit, and breach notification requirements of Italy's Privacy Code.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databases, cloud services, endpoints, and identity systems, providing granular visibility into who accessed personal data, when, and from where. Security and DPO teams can detect unauthorized access to personal data, track consent-related system changes, and generate audit-ready records to satisfy Garante inspections.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privacy compliance reports covering personal data access events, authentication logs, and system changes relevant to the Italian Privacy Code.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database access, file activity, and cloud storage events to detect unauthorized processing of personal data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alerts for critical privacy events such as bulk data exports, unauthorized access to sensitive records, and audit log modifications.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Garante investigations, DPA submissions, and internal data protection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Italian Privacy Code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db7630d2-f69b-2483-81ca-12306a958a05" w:fontKey="{00000000-0000-0000-0000-000000000000}" w:subsetted="0"/>
  </w:font>
  <w:font w:name="Caladea Regular">
    <w:embedRegular xmlns:r="http://schemas.openxmlformats.org/officeDocument/2006/relationships" r:id="rIdd80f999c-34ac-fb4a-58da-4a9c9bae7ee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
    <w:name w:val="List"/>
    <w:uiPriority w:val="1"/>
    <w:basedOn w:val="Normal"/>
    <w:next w:val="List"/>
    <w:p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TOCHeading">
    <w:name w:val="TOC Heading"/>
    <w:uiPriority w:val="1"/>
    <w:basedOn w:val="Heading1"/>
    <w:next w:val="Normal"/>
    <w:pPr>
      <w:widowControl w:val="1"/>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db7630d2-f69b-2483-81ca-12306a958a05" Target="fonts/ArimoRegular.ttf" Type="http://schemas.openxmlformats.org/officeDocument/2006/relationships/font" /><Relationship Id="rIdd80f999c-34ac-fb4a-58da-4a9c9bae7eea"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