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FSRA Cyber Risk Management Framework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true"/>
          <w:shd w:fill="auto" w:val="clear" w:color="auto"/>
        </w:rPr>
        <w:t xml:space="preserve">Tagline:</w:t>
      </w:r>
      <w:r w:rsidR="00000000" w:rsidDel="00000000" w:rsidRPr="00000000">
        <w:rPr>
          <w:shd w:fill="auto" w:val="clear" w:color="auto"/>
        </w:rPr>
        <w:t xml:space="preserve"> Align with ADGM's FSRA standards using threat detection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The FSRA Cyber Risk Management Framework Compliance extension for Log360 enables ADGM-licensed financial institutions and fintech firms to meet the Financial Services Regulatory Authority's cyber risk management, monitoring, and resilience requirements. 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Log360 ingests and correlates security event data from financial applications, cloud platforms, endpoints, and network devices, providing compliance and security teams with a continuous view of their cyber risk posture. Teams can identify control gaps, respond to threats rapidly, and generate FSRA-ready documentation to demonstrate framework adherence.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Generate compliance reports aligned to FSRA Cyber Risk Management Framework controls covering identity security, threat monitoring, and incident response.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Monitor authentication events, privileged access usage, and critical configuration changes across ADGM financial services environments.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trike w:val="false"/>
          <w:u w:val="none"/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Correlate security events across ADGM financial services infrastructure to maintain continuous visibility into user activity and access patterns aligned with FSRA Cyber Risk Management Framework monitoring obligations.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Export audit evidence in PDF and CSV formats for FSRA supervisory reviews and internal risk governance submissions.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FSRA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63ef70ab-9b8c-99e6-56f9-775b36e23028" w:fontKey="{00000000-0000-0000-0000-000000000000}" w:subsetted="0"/>
  </w:font>
  <w:font w:name="Caladea Regular">
    <w:embedRegular xmlns:r="http://schemas.openxmlformats.org/officeDocument/2006/relationships" r:id="rId84dc070c-f480-b711-2e4c-afbd2bcdc2e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63ef70ab-9b8c-99e6-56f9-775b36e23028" Target="fonts/ArimoRegular.ttf" Type="http://schemas.openxmlformats.org/officeDocument/2006/relationships/font"/><Relationship Id="rId84dc070c-f480-b711-2e4c-afbd2bcdc2ea" Target="fonts/Caladea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