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Spanish Trust Services Law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Meet Spain's qualified trust service provider security requirements under Law 6/2020 with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Spanish Trust Services Law (Law 6/2020) Compliance extension for Log360 helps Spanish qualified trust service providers (QTSPs) and electronic signature service operators meet the security monitoring, incident reporting, and audit logging requirements under Spain's Trust Services Law and the EU eIDAS Regulation.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certificate issuance systems, cryptographic modules, cloud platforms, and identity services, providing security teams with visibility into system integrity and access events. Compliance teams can detect anomalies, investigate incidents, and generate documentation for MINECO and ENISA supervisory oversight.</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predefined audit reports covering Law 6/2020 trust service security requirements including certificate system access monitoring, key management events, and incident detection.</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access to trust service infrastructure, detect unauthorized cryptographic operations, and track administrative changes to certificate issuance systems.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real-time alerts for trust service security events such as unauthorized certificate issuance attempts, key access anomalies, and audit log modifications.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evidence in PDF and CSV formats for MINECO supervisory submissions and internal QTSP security governance reviews.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486400" cy="2520778"/>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5486400" cy="2520778"/>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Valid Submission : Yes</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Help Video : Not provided</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Privacy Policy:</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Terms of Service:</w:t>
      </w:r>
    </w:p>
    <w:p xmlns:w14="http://schemas.microsoft.com/office/word/2010/wordml" w:rsidR="00000000" w:rsidRDefault="00000000" w14:textId="00000000" w:rsidDel="00000000" w:rsidP="00000000" w:rsidRPr="00000000">
      <w:pPr>
        <w:pStyle w:val="Normal"/>
        <w:spacing w:lineRule="auto"/>
        <w:rPr/>
        <w:widowControl w:val="1"/>
      </w:pPr>
      <w:r w:rsidR="00000000" w:rsidDel="00000000" w:rsidRPr="00000000">
        <w:rPr>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Spanish Trust Services Law (Law 6/2020)</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09f46d6a-a199-b602-f38c-97c9cec0769b" w:fontKey="{00000000-0000-0000-0000-000000000000}" w:subsetted="0"/>
  </w:font>
  <w:font w:name="Caladea Regular">
    <w:embedRegular xmlns:r="http://schemas.openxmlformats.org/officeDocument/2006/relationships" r:id="rIde8dbf8c7-f585-5a42-0df7-21e2a0a8f9f1"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
    <w:name w:val="Body Text"/>
    <w:uiPriority w:val="1"/>
    <w:basedOn w:val="Normal"/>
    <w:next w:val="BodyText"/>
    <w:pPr>
      <w:spacing w:after="120.0"/>
      <w:widowControl w:val="1"/>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TOCHeading">
    <w:name w:val="TOC Heading"/>
    <w:uiPriority w:val="1"/>
    <w:basedOn w:val="Heading1"/>
    <w:next w:val="Normal"/>
    <w:pPr>
      <w:widowControl w:val="1"/>
    </w:pPr>
    <w:rPr/>
    <w:unhideWhenUsed/>
    <w:qFormat/>
  </w:style>
  <w:style w:type="paragraph" w:styleId="List">
    <w:name w:val="List"/>
    <w:uiPriority w:val="1"/>
    <w:basedOn w:val="Normal"/>
    <w:next w:val="List"/>
    <w:pPr>
      <w:widowControl w:val="1"/>
      <w:ind w:left="36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List2">
    <w:name w:val="List 2"/>
    <w:uiPriority w:val="1"/>
    <w:basedOn w:val="Normal"/>
    <w:next w:val="List2"/>
    <w:pPr>
      <w:widowControl w:val="1"/>
      <w:ind w:left="720" w:hanging="360"/>
    </w:pPr>
    <w:rPr/>
    <w:unhideWhenUsed/>
    <w:qFormat/>
  </w:style>
  <w:style w:type="paragraph" w:styleId="List3">
    <w:name w:val="List 3"/>
    <w:uiPriority w:val="1"/>
    <w:basedOn w:val="Normal"/>
    <w:next w:val="List3"/>
    <w:pPr>
      <w:widowControl w:val="1"/>
      <w:ind w:left="1080" w:hanging="360"/>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09f46d6a-a199-b602-f38c-97c9cec0769b" Target="fonts/ArimoRegular.ttf" Type="http://schemas.openxmlformats.org/officeDocument/2006/relationships/font" /><Relationship Id="rIde8dbf8c7-f585-5a42-0df7-21e2a0a8f9f1"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