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Swiss EPRA and MedDO Healthcare Cybersecurity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Protect Swiss electronic patient records and meet EPRA and MedDO cybersecurity requirements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Swiss EPRA + MedDO Healthcare Cybersecurity Compliance extension for Log360 supports Swiss healthcare providers, EPD communities, and medical device operators in meeting the security monitoring and data protection requirements of the Electronic Patient Record Act (EPRA) and the Medical Device Ordinance (MedDO).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electronic health record systems, medical devices, cloud platforms, and network infrastructure, providing security teams with visibility into patient data access and system integrity events. Compliance teams can detect unauthorized access to health records and generate audit evidence for Swiss health regulators.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EPRA and MedDO requirements including patient record access monitoring, authentication events, and data integrity controls.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electronic patient records and connected medical devices to detect unauthorized queries and data exfiltration attempts.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healthcare-specific security events such as unauthorized record access, bulk data exports, and audit log modifications.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Swiss healthcare authority submissions and internal data protection officer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6548438" cy="300874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548438" cy="3008741"/>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EPRA and MedDO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bad7e75-d058-670e-cb0f-eb18532231b7" w:fontKey="{00000000-0000-0000-0000-000000000000}" w:subsetted="0"/>
  </w:font>
  <w:font w:name="Caladea Regular">
    <w:embedRegular xmlns:r="http://schemas.openxmlformats.org/officeDocument/2006/relationships" r:id="rId96169c3b-f811-1d1c-9971-7e9f2d74f75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BodyText">
    <w:name w:val="Body Text"/>
    <w:uiPriority w:val="1"/>
    <w:basedOn w:val="Normal"/>
    <w:next w:val="BodyText"/>
    <w:pPr>
      <w:spacing w:after="120.0"/>
      <w:widowControl w:val="1"/>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2">
    <w:name w:val="List 2"/>
    <w:uiPriority w:val="1"/>
    <w:basedOn w:val="Normal"/>
    <w:next w:val="List2"/>
    <w:pPr>
      <w:widowControl w:val="1"/>
      <w:ind w:left="720" w:hanging="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
    <w:name w:val="List"/>
    <w:uiPriority w:val="1"/>
    <w:basedOn w:val="Normal"/>
    <w:next w:val="List"/>
    <w:pPr>
      <w:widowControl w:val="1"/>
      <w:ind w:left="36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ebad7e75-d058-670e-cb0f-eb18532231b7" Target="fonts/ArimoRegular.ttf" Type="http://schemas.openxmlformats.org/officeDocument/2006/relationships/font" /><Relationship Id="rId96169c3b-f811-1d1c-9971-7e9f2d74f752"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