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Swiss Telecommunications Act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Ensure telecommunications security with continuous log monitoring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Swiss Telecommunications Act (TCA) Compliance extension for Log360 helps Swiss telecom providers and digital service operators meet the security monitoring, data protection, and lawful interception-related obligations under the TCA.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ingests logs from network infrastructure, access systems, cloud platforms, and communication services, enabling organizations to maintain detailed audit trails of system events and user activities. Security teams can detect unauthorized access, monitor network integrity, and generate regulatory-grade reports to demonstrate compliance with TCA requirements.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predefined audit reports covering network access events, system changes, and data handling activities relevant to TCA obligations.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authentication logs, network device events, and user activity across telecommunications infrastructure in real time.</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Configure threshold-based alerts for TCA-relevant security events such as unauthorized system access, configuration changes, and data exfiltration attempts.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reports in PDF and CSV formats suitable for regulatory submissions to BAKOM and internal governance reviews.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Valid Submission : Yes</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Video : Not provided</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Privacy Policy:</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Terms of Service: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TCA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41611657-ddfc-e90b-15b2-a150e6037faa" w:fontKey="{00000000-0000-0000-0000-000000000000}" w:subsetted="0"/>
  </w:font>
  <w:font w:name="Caladea Regular">
    <w:embedRegular xmlns:r="http://schemas.openxmlformats.org/officeDocument/2006/relationships" r:id="rIdd8949ef2-17d2-bb41-3779-b8c387ec6c91"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TOCHeading">
    <w:name w:val="TOC Heading"/>
    <w:uiPriority w:val="1"/>
    <w:basedOn w:val="Heading1"/>
    <w:next w:val="Normal"/>
    <w:pPr>
      <w:widowControl w:val="1"/>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List3">
    <w:name w:val="List 3"/>
    <w:uiPriority w:val="1"/>
    <w:basedOn w:val="Normal"/>
    <w:next w:val="List3"/>
    <w:pPr>
      <w:widowControl w:val="1"/>
      <w:ind w:left="1080" w:hanging="360"/>
    </w:pPr>
    <w:rPr/>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
    <w:name w:val="List"/>
    <w:uiPriority w:val="1"/>
    <w:basedOn w:val="Normal"/>
    <w:next w:val="List"/>
    <w:pPr>
      <w:widowControl w:val="1"/>
      <w:ind w:left="360" w:hanging="36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List2">
    <w:name w:val="List 2"/>
    <w:uiPriority w:val="1"/>
    <w:basedOn w:val="Normal"/>
    <w:next w:val="List2"/>
    <w:pPr>
      <w:widowControl w:val="1"/>
      <w:ind w:left="720" w:hanging="360"/>
    </w:pPr>
    <w:rPr/>
    <w:unhideWhenUsed/>
    <w:qFormat/>
  </w:style>
  <w:style w:type="paragraph" w:styleId="BodyText">
    <w:name w:val="Body Text"/>
    <w:uiPriority w:val="1"/>
    <w:basedOn w:val="Normal"/>
    <w:next w:val="BodyText"/>
    <w:pPr>
      <w:spacing w:after="120.0"/>
      <w:widowControl w:val="1"/>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image1.png" Type="http://schemas.openxmlformats.org/officeDocument/2006/relationships/image" /><Relationship Id="rId7" Target="media/image2.png" Type="http://schemas.openxmlformats.org/officeDocument/2006/relationships/image" /><Relationship Id="rId8" Target="media/image3.png" Type="http://schemas.openxmlformats.org/officeDocument/2006/relationships/image" /><Relationship Id="rId9" Target="media/image4.png" Type="http://schemas.openxmlformats.org/officeDocument/2006/relationships/image" /><Relationship Id="rId10" Target="media/image5.png" Type="http://schemas.openxmlformats.org/officeDocument/2006/relationships/image" /><Relationship Id="rId11" Target="media/image6.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41611657-ddfc-e90b-15b2-a150e6037faa" Target="fonts/ArimoRegular.ttf" Type="http://schemas.openxmlformats.org/officeDocument/2006/relationships/font" /><Relationship Id="rIdd8949ef2-17d2-bb41-3779-b8c387ec6c91"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